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C8016" w14:textId="77777777" w:rsidR="007E6BD2" w:rsidRPr="007B795F" w:rsidRDefault="007E6BD2" w:rsidP="007E6BD2">
      <w:pPr>
        <w:autoSpaceDE w:val="0"/>
        <w:autoSpaceDN w:val="0"/>
        <w:adjustRightInd w:val="0"/>
        <w:spacing w:after="0"/>
        <w:jc w:val="both"/>
        <w:rPr>
          <w:rFonts w:ascii="Arial" w:hAnsi="Arial"/>
          <w:i/>
        </w:rPr>
      </w:pPr>
      <w:r w:rsidRPr="007B795F">
        <w:rPr>
          <w:rFonts w:ascii="Arial" w:hAnsi="Arial"/>
          <w:b/>
          <w:i/>
        </w:rPr>
        <w:t>Please note:</w:t>
      </w:r>
      <w:r w:rsidRPr="007B795F">
        <w:rPr>
          <w:rFonts w:ascii="Arial" w:hAnsi="Arial"/>
          <w:i/>
        </w:rPr>
        <w:t xml:space="preserve"> </w:t>
      </w:r>
    </w:p>
    <w:p w14:paraId="53BAB0C5" w14:textId="77777777" w:rsidR="007E6BD2" w:rsidRPr="005D5A62" w:rsidRDefault="007E6BD2" w:rsidP="007E6BD2">
      <w:pPr>
        <w:pStyle w:val="ListParagraph"/>
        <w:numPr>
          <w:ilvl w:val="0"/>
          <w:numId w:val="6"/>
        </w:numPr>
        <w:autoSpaceDE w:val="0"/>
        <w:autoSpaceDN w:val="0"/>
        <w:adjustRightInd w:val="0"/>
        <w:spacing w:after="0"/>
        <w:ind w:left="567" w:hanging="567"/>
        <w:jc w:val="both"/>
        <w:rPr>
          <w:rFonts w:ascii="Arial" w:hAnsi="Arial" w:cs="Arial"/>
          <w:i/>
        </w:rPr>
      </w:pPr>
      <w:r w:rsidRPr="005D5A62">
        <w:rPr>
          <w:rFonts w:ascii="Arial" w:hAnsi="Arial" w:cs="Arial"/>
          <w:i/>
        </w:rPr>
        <w:t xml:space="preserve">To uphold the principles of transparency and equality of treatment for all Singapore-incorporated companies, the Registrar will grant exemption under section 201(12) of the Companies Act </w:t>
      </w:r>
      <w:r w:rsidR="00937AA5">
        <w:rPr>
          <w:rFonts w:ascii="Arial" w:hAnsi="Arial" w:cs="Arial"/>
          <w:b/>
          <w:i/>
        </w:rPr>
        <w:t>in</w:t>
      </w:r>
      <w:r w:rsidR="00AB4CF4">
        <w:rPr>
          <w:rFonts w:ascii="Arial" w:hAnsi="Arial" w:cs="Arial"/>
          <w:b/>
          <w:i/>
        </w:rPr>
        <w:t xml:space="preserve"> </w:t>
      </w:r>
      <w:r w:rsidR="002247F1">
        <w:rPr>
          <w:rFonts w:ascii="Arial" w:hAnsi="Arial" w:cs="Arial"/>
          <w:b/>
          <w:i/>
        </w:rPr>
        <w:t xml:space="preserve">very </w:t>
      </w:r>
      <w:r w:rsidR="005C6587" w:rsidRPr="005D5A62">
        <w:rPr>
          <w:rFonts w:ascii="Arial" w:hAnsi="Arial" w:cs="Arial"/>
          <w:b/>
          <w:i/>
        </w:rPr>
        <w:t>limited</w:t>
      </w:r>
      <w:r w:rsidRPr="005D5A62">
        <w:rPr>
          <w:rFonts w:ascii="Arial" w:hAnsi="Arial" w:cs="Arial"/>
          <w:b/>
          <w:i/>
        </w:rPr>
        <w:t xml:space="preserve"> circumstances</w:t>
      </w:r>
      <w:r w:rsidRPr="005D5A62">
        <w:rPr>
          <w:rFonts w:ascii="Arial" w:hAnsi="Arial" w:cs="Arial"/>
          <w:i/>
        </w:rPr>
        <w:t xml:space="preserve">. </w:t>
      </w:r>
    </w:p>
    <w:p w14:paraId="3C1C5B3F" w14:textId="77777777" w:rsidR="007E6BD2" w:rsidRDefault="008D6608" w:rsidP="007E6BD2">
      <w:pPr>
        <w:pStyle w:val="ListParagraph"/>
        <w:numPr>
          <w:ilvl w:val="0"/>
          <w:numId w:val="6"/>
        </w:numPr>
        <w:autoSpaceDE w:val="0"/>
        <w:autoSpaceDN w:val="0"/>
        <w:adjustRightInd w:val="0"/>
        <w:spacing w:after="0"/>
        <w:ind w:left="567" w:hanging="567"/>
        <w:jc w:val="both"/>
        <w:rPr>
          <w:rFonts w:ascii="Arial" w:hAnsi="Arial" w:cs="Arial"/>
          <w:i/>
        </w:rPr>
      </w:pPr>
      <w:r w:rsidRPr="005D5A62">
        <w:rPr>
          <w:rFonts w:ascii="Arial" w:hAnsi="Arial" w:cs="Arial"/>
          <w:i/>
        </w:rPr>
        <w:t>Please</w:t>
      </w:r>
      <w:r w:rsidR="007E6BD2" w:rsidRPr="005D5A62">
        <w:rPr>
          <w:rFonts w:ascii="Arial" w:hAnsi="Arial" w:cs="Arial"/>
          <w:i/>
        </w:rPr>
        <w:t xml:space="preserve"> </w:t>
      </w:r>
      <w:r w:rsidR="007E6BD2" w:rsidRPr="005D5A62">
        <w:rPr>
          <w:rFonts w:ascii="Arial" w:hAnsi="Arial" w:cs="Arial"/>
          <w:b/>
          <w:i/>
        </w:rPr>
        <w:t>complete</w:t>
      </w:r>
      <w:r w:rsidR="007E6BD2" w:rsidRPr="005D5A62">
        <w:rPr>
          <w:rFonts w:ascii="Arial" w:hAnsi="Arial" w:cs="Arial"/>
          <w:i/>
        </w:rPr>
        <w:t xml:space="preserve"> all information fields below before submitting the application. If the information provided is </w:t>
      </w:r>
      <w:r w:rsidR="007E6BD2" w:rsidRPr="005D5A62">
        <w:rPr>
          <w:rFonts w:ascii="Arial" w:hAnsi="Arial" w:cs="Arial"/>
          <w:b/>
          <w:i/>
        </w:rPr>
        <w:t>incomplete</w:t>
      </w:r>
      <w:r w:rsidR="007E6BD2" w:rsidRPr="005D5A62">
        <w:rPr>
          <w:rFonts w:ascii="Arial" w:hAnsi="Arial" w:cs="Arial"/>
          <w:i/>
        </w:rPr>
        <w:t xml:space="preserve"> and/or you do not provide</w:t>
      </w:r>
      <w:r w:rsidR="007E6BD2" w:rsidRPr="00434B30">
        <w:rPr>
          <w:rFonts w:ascii="Arial" w:hAnsi="Arial" w:cs="Arial"/>
          <w:i/>
        </w:rPr>
        <w:t xml:space="preserve"> further information and documents within one week upon ACRA’s request, ACRA will process the application based solely on the information </w:t>
      </w:r>
      <w:r w:rsidR="007E6BD2" w:rsidRPr="000100A8">
        <w:rPr>
          <w:rFonts w:ascii="Arial" w:hAnsi="Arial" w:cs="Arial"/>
          <w:i/>
        </w:rPr>
        <w:t>made available to ACRA</w:t>
      </w:r>
      <w:r w:rsidR="007E6BD2" w:rsidRPr="00434B30">
        <w:rPr>
          <w:rFonts w:ascii="Arial" w:hAnsi="Arial" w:cs="Arial"/>
          <w:i/>
        </w:rPr>
        <w:t xml:space="preserve">. </w:t>
      </w:r>
      <w:r w:rsidR="007E6BD2" w:rsidRPr="00434B30">
        <w:rPr>
          <w:rFonts w:ascii="Arial" w:eastAsia="SimSun" w:hAnsi="Arial" w:cs="Arial"/>
          <w:i/>
          <w:color w:val="000000"/>
          <w:lang w:eastAsia="en-GB"/>
        </w:rPr>
        <w:t xml:space="preserve">Applications may be rejected if the available information is insufficient to support the applications. </w:t>
      </w:r>
      <w:r w:rsidR="007E6BD2" w:rsidRPr="00434B30">
        <w:rPr>
          <w:rFonts w:ascii="Arial" w:hAnsi="Arial" w:cs="Arial"/>
          <w:i/>
        </w:rPr>
        <w:t xml:space="preserve"> We regret</w:t>
      </w:r>
      <w:r w:rsidR="007E6BD2">
        <w:rPr>
          <w:rFonts w:ascii="Arial" w:hAnsi="Arial" w:cs="Arial"/>
          <w:i/>
        </w:rPr>
        <w:t xml:space="preserve"> to inform that fees will not be refunded</w:t>
      </w:r>
      <w:r w:rsidR="007E6BD2" w:rsidRPr="00434B30">
        <w:rPr>
          <w:rFonts w:ascii="Arial" w:hAnsi="Arial" w:cs="Arial"/>
          <w:i/>
        </w:rPr>
        <w:t xml:space="preserve"> for rejected applications. </w:t>
      </w:r>
    </w:p>
    <w:p w14:paraId="26E54605" w14:textId="77777777" w:rsidR="00454905" w:rsidRPr="00454905" w:rsidRDefault="004377AE" w:rsidP="00454905">
      <w:pPr>
        <w:pStyle w:val="ListParagraph"/>
        <w:numPr>
          <w:ilvl w:val="0"/>
          <w:numId w:val="6"/>
        </w:numPr>
        <w:autoSpaceDE w:val="0"/>
        <w:autoSpaceDN w:val="0"/>
        <w:adjustRightInd w:val="0"/>
        <w:spacing w:after="0"/>
        <w:ind w:left="567" w:hanging="567"/>
        <w:jc w:val="both"/>
        <w:rPr>
          <w:rFonts w:ascii="Arial" w:hAnsi="Arial" w:cs="Arial"/>
          <w:i/>
        </w:rPr>
      </w:pPr>
      <w:r>
        <w:rPr>
          <w:rFonts w:ascii="Arial" w:hAnsi="Arial" w:cs="Arial"/>
          <w:i/>
        </w:rPr>
        <w:t>The information provided herein, together with the electronic form filed, will be made available to the public for inspection</w:t>
      </w:r>
      <w:r w:rsidR="00AE729A">
        <w:rPr>
          <w:rFonts w:ascii="Arial" w:hAnsi="Arial" w:cs="Arial"/>
          <w:i/>
        </w:rPr>
        <w:t>.</w:t>
      </w:r>
      <w:r w:rsidR="00454905">
        <w:rPr>
          <w:rFonts w:ascii="Arial" w:hAnsi="Arial" w:cs="Arial"/>
          <w:i/>
        </w:rPr>
        <w:t xml:space="preserve"> </w:t>
      </w:r>
    </w:p>
    <w:p w14:paraId="44BC0841" w14:textId="77777777" w:rsidR="007E6BD2" w:rsidRPr="00434B30" w:rsidRDefault="007E6BD2" w:rsidP="007E6BD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330"/>
        <w:gridCol w:w="5686"/>
      </w:tblGrid>
      <w:tr w:rsidR="007E6BD2" w:rsidRPr="00434B30" w14:paraId="5DAF2394" w14:textId="77777777" w:rsidTr="00AB671E">
        <w:tc>
          <w:tcPr>
            <w:tcW w:w="3330" w:type="dxa"/>
          </w:tcPr>
          <w:p w14:paraId="7C9588AA" w14:textId="77777777" w:rsidR="007E6BD2" w:rsidRPr="00434B30" w:rsidRDefault="007E6BD2" w:rsidP="00494FE2">
            <w:pPr>
              <w:rPr>
                <w:rFonts w:ascii="Arial" w:hAnsi="Arial" w:cs="Arial"/>
                <w:b/>
                <w:sz w:val="24"/>
                <w:szCs w:val="24"/>
              </w:rPr>
            </w:pPr>
            <w:r w:rsidRPr="00434B30">
              <w:rPr>
                <w:rFonts w:ascii="Arial" w:hAnsi="Arial"/>
                <w:b/>
                <w:color w:val="0070C0"/>
                <w:sz w:val="24"/>
              </w:rPr>
              <w:t>Background Information</w:t>
            </w:r>
            <w:r>
              <w:rPr>
                <w:rFonts w:ascii="Arial" w:hAnsi="Arial"/>
                <w:b/>
                <w:color w:val="0070C0"/>
                <w:sz w:val="24"/>
              </w:rPr>
              <w:t>:</w:t>
            </w:r>
          </w:p>
        </w:tc>
        <w:tc>
          <w:tcPr>
            <w:tcW w:w="5686" w:type="dxa"/>
          </w:tcPr>
          <w:p w14:paraId="0FA8E6E9" w14:textId="77777777" w:rsidR="007E6BD2" w:rsidRPr="00434B30" w:rsidRDefault="007E6BD2" w:rsidP="00494FE2">
            <w:pPr>
              <w:rPr>
                <w:rFonts w:ascii="Arial" w:hAnsi="Arial" w:cs="Arial"/>
                <w:sz w:val="24"/>
                <w:szCs w:val="24"/>
              </w:rPr>
            </w:pPr>
          </w:p>
        </w:tc>
      </w:tr>
      <w:tr w:rsidR="007E6BD2" w:rsidRPr="00434B30" w14:paraId="5EA29917" w14:textId="77777777" w:rsidTr="00AB671E">
        <w:tc>
          <w:tcPr>
            <w:tcW w:w="3330" w:type="dxa"/>
          </w:tcPr>
          <w:p w14:paraId="22F4C1AE" w14:textId="77777777" w:rsidR="007E6BD2" w:rsidRPr="00434B30" w:rsidRDefault="007E6BD2" w:rsidP="00494FE2">
            <w:pPr>
              <w:rPr>
                <w:rFonts w:ascii="Arial" w:hAnsi="Arial" w:cs="Arial"/>
                <w:sz w:val="24"/>
                <w:szCs w:val="24"/>
              </w:rPr>
            </w:pPr>
            <w:r w:rsidRPr="00434B30">
              <w:rPr>
                <w:rFonts w:ascii="Arial" w:hAnsi="Arial" w:cs="Arial"/>
                <w:sz w:val="24"/>
                <w:szCs w:val="24"/>
              </w:rPr>
              <w:t>Company name:</w:t>
            </w:r>
          </w:p>
        </w:tc>
        <w:tc>
          <w:tcPr>
            <w:tcW w:w="5686" w:type="dxa"/>
          </w:tcPr>
          <w:p w14:paraId="22B6ECAE" w14:textId="77777777" w:rsidR="007E6BD2" w:rsidRPr="00434B30" w:rsidRDefault="007E6BD2" w:rsidP="00494FE2">
            <w:pPr>
              <w:rPr>
                <w:rFonts w:ascii="Arial" w:hAnsi="Arial" w:cs="Arial"/>
                <w:sz w:val="24"/>
                <w:szCs w:val="24"/>
              </w:rPr>
            </w:pPr>
          </w:p>
        </w:tc>
      </w:tr>
      <w:tr w:rsidR="007E6BD2" w:rsidRPr="00434B30" w14:paraId="76A4F5A9" w14:textId="77777777" w:rsidTr="00AB671E">
        <w:tc>
          <w:tcPr>
            <w:tcW w:w="3330" w:type="dxa"/>
          </w:tcPr>
          <w:p w14:paraId="1ED7E4F1" w14:textId="77777777" w:rsidR="007E6BD2" w:rsidRPr="00434B30" w:rsidRDefault="00D112FE" w:rsidP="00494FE2">
            <w:pPr>
              <w:rPr>
                <w:rFonts w:ascii="Arial" w:hAnsi="Arial" w:cs="Arial"/>
                <w:sz w:val="24"/>
                <w:szCs w:val="24"/>
              </w:rPr>
            </w:pPr>
            <w:r>
              <w:rPr>
                <w:rFonts w:ascii="Arial" w:hAnsi="Arial" w:cs="Arial"/>
                <w:sz w:val="24"/>
                <w:szCs w:val="24"/>
              </w:rPr>
              <w:t>Unique entity number</w:t>
            </w:r>
            <w:r w:rsidR="007E6BD2" w:rsidRPr="00434B30">
              <w:rPr>
                <w:rFonts w:ascii="Arial" w:hAnsi="Arial" w:cs="Arial"/>
                <w:sz w:val="24"/>
                <w:szCs w:val="24"/>
              </w:rPr>
              <w:t>:</w:t>
            </w:r>
          </w:p>
        </w:tc>
        <w:tc>
          <w:tcPr>
            <w:tcW w:w="5686" w:type="dxa"/>
          </w:tcPr>
          <w:p w14:paraId="5B76C65E" w14:textId="77777777" w:rsidR="007E6BD2" w:rsidRPr="00434B30" w:rsidRDefault="007E6BD2" w:rsidP="00494FE2">
            <w:pPr>
              <w:rPr>
                <w:rFonts w:ascii="Arial" w:hAnsi="Arial" w:cs="Arial"/>
                <w:sz w:val="24"/>
                <w:szCs w:val="24"/>
              </w:rPr>
            </w:pPr>
          </w:p>
        </w:tc>
      </w:tr>
      <w:tr w:rsidR="007E6BD2" w:rsidRPr="00434B30" w14:paraId="5A92F95B" w14:textId="77777777" w:rsidTr="00AB671E">
        <w:tc>
          <w:tcPr>
            <w:tcW w:w="3330" w:type="dxa"/>
          </w:tcPr>
          <w:p w14:paraId="31715BB7" w14:textId="77777777" w:rsidR="007E6BD2" w:rsidRPr="00434B30" w:rsidRDefault="007E6BD2" w:rsidP="00494FE2">
            <w:pPr>
              <w:rPr>
                <w:rFonts w:ascii="Arial" w:hAnsi="Arial" w:cs="Arial"/>
                <w:sz w:val="24"/>
                <w:szCs w:val="24"/>
              </w:rPr>
            </w:pPr>
            <w:r w:rsidRPr="00434B30">
              <w:rPr>
                <w:rFonts w:ascii="Arial" w:hAnsi="Arial" w:cs="Arial"/>
                <w:sz w:val="24"/>
                <w:szCs w:val="24"/>
              </w:rPr>
              <w:t>Financial year end:</w:t>
            </w:r>
          </w:p>
        </w:tc>
        <w:tc>
          <w:tcPr>
            <w:tcW w:w="5686" w:type="dxa"/>
          </w:tcPr>
          <w:p w14:paraId="64D8571E" w14:textId="77777777" w:rsidR="007E6BD2" w:rsidRPr="00434B30" w:rsidRDefault="007E6BD2" w:rsidP="00494FE2">
            <w:pPr>
              <w:rPr>
                <w:rFonts w:ascii="Arial" w:hAnsi="Arial" w:cs="Arial"/>
                <w:sz w:val="24"/>
                <w:szCs w:val="24"/>
              </w:rPr>
            </w:pPr>
          </w:p>
        </w:tc>
      </w:tr>
    </w:tbl>
    <w:p w14:paraId="537501A2" w14:textId="77777777" w:rsidR="007E6BD2" w:rsidRPr="00434B30" w:rsidRDefault="007E6BD2" w:rsidP="007E6BD2">
      <w:pPr>
        <w:rPr>
          <w:rFonts w:ascii="Arial" w:hAnsi="Arial" w:cs="Arial"/>
          <w:sz w:val="24"/>
          <w:szCs w:val="24"/>
        </w:rPr>
      </w:pPr>
    </w:p>
    <w:tbl>
      <w:tblPr>
        <w:tblStyle w:val="TableGrid"/>
        <w:tblW w:w="0" w:type="auto"/>
        <w:tblLook w:val="04A0" w:firstRow="1" w:lastRow="0" w:firstColumn="1" w:lastColumn="0" w:noHBand="0" w:noVBand="1"/>
      </w:tblPr>
      <w:tblGrid>
        <w:gridCol w:w="3323"/>
        <w:gridCol w:w="5693"/>
      </w:tblGrid>
      <w:tr w:rsidR="007E6BD2" w:rsidRPr="00434B30" w14:paraId="319D6FAD" w14:textId="77777777" w:rsidTr="00494FE2">
        <w:trPr>
          <w:tblHeader/>
        </w:trPr>
        <w:tc>
          <w:tcPr>
            <w:tcW w:w="3369" w:type="dxa"/>
          </w:tcPr>
          <w:p w14:paraId="4ACC7B11" w14:textId="77777777" w:rsidR="007E6BD2" w:rsidRPr="00434B30" w:rsidRDefault="007E6BD2" w:rsidP="00494FE2">
            <w:pPr>
              <w:rPr>
                <w:rFonts w:ascii="Arial" w:hAnsi="Arial" w:cs="Arial"/>
                <w:b/>
                <w:sz w:val="24"/>
                <w:szCs w:val="24"/>
              </w:rPr>
            </w:pPr>
            <w:r>
              <w:rPr>
                <w:rFonts w:ascii="Arial" w:hAnsi="Arial"/>
                <w:b/>
                <w:color w:val="0070C0"/>
                <w:sz w:val="24"/>
              </w:rPr>
              <w:t>Information Required:</w:t>
            </w:r>
          </w:p>
        </w:tc>
        <w:tc>
          <w:tcPr>
            <w:tcW w:w="5811" w:type="dxa"/>
          </w:tcPr>
          <w:p w14:paraId="219A2580" w14:textId="77777777" w:rsidR="007E6BD2" w:rsidRPr="00434B30" w:rsidRDefault="007E6BD2" w:rsidP="00494FE2">
            <w:pPr>
              <w:rPr>
                <w:rFonts w:ascii="Arial" w:hAnsi="Arial" w:cs="Arial"/>
                <w:sz w:val="24"/>
                <w:szCs w:val="24"/>
              </w:rPr>
            </w:pPr>
          </w:p>
        </w:tc>
      </w:tr>
      <w:tr w:rsidR="007E6BD2" w:rsidRPr="00434B30" w14:paraId="2509D920" w14:textId="77777777" w:rsidTr="00494FE2">
        <w:tc>
          <w:tcPr>
            <w:tcW w:w="3369" w:type="dxa"/>
          </w:tcPr>
          <w:p w14:paraId="7FD200F5" w14:textId="77777777" w:rsidR="007E6BD2" w:rsidRPr="00434B30" w:rsidRDefault="007E6BD2" w:rsidP="00494FE2">
            <w:pPr>
              <w:jc w:val="both"/>
              <w:rPr>
                <w:rFonts w:ascii="Arial" w:hAnsi="Arial" w:cs="Arial"/>
                <w:sz w:val="24"/>
                <w:szCs w:val="24"/>
              </w:rPr>
            </w:pPr>
            <w:r w:rsidRPr="00434B30">
              <w:rPr>
                <w:rFonts w:ascii="Arial" w:hAnsi="Arial" w:cs="Arial"/>
                <w:sz w:val="24"/>
                <w:szCs w:val="24"/>
              </w:rPr>
              <w:t>Specific paragraph of the Accounting Standards</w:t>
            </w:r>
            <w:r w:rsidRPr="00434B30">
              <w:rPr>
                <w:rStyle w:val="FootnoteReference"/>
                <w:rFonts w:ascii="Arial" w:hAnsi="Arial" w:cs="Arial"/>
                <w:sz w:val="24"/>
                <w:szCs w:val="24"/>
              </w:rPr>
              <w:footnoteReference w:id="1"/>
            </w:r>
            <w:r w:rsidRPr="00434B30">
              <w:rPr>
                <w:rFonts w:ascii="Arial" w:hAnsi="Arial" w:cs="Arial"/>
                <w:sz w:val="24"/>
                <w:szCs w:val="24"/>
              </w:rPr>
              <w:t xml:space="preserve"> which the Company/Group is unable to comply with.</w:t>
            </w:r>
          </w:p>
          <w:p w14:paraId="367BB14A" w14:textId="77777777" w:rsidR="007E6BD2" w:rsidRPr="00434B30" w:rsidRDefault="007E6BD2" w:rsidP="00494FE2">
            <w:pPr>
              <w:jc w:val="both"/>
              <w:rPr>
                <w:rFonts w:ascii="Arial" w:hAnsi="Arial" w:cs="Arial"/>
                <w:sz w:val="24"/>
                <w:szCs w:val="24"/>
              </w:rPr>
            </w:pPr>
          </w:p>
        </w:tc>
        <w:tc>
          <w:tcPr>
            <w:tcW w:w="5811" w:type="dxa"/>
          </w:tcPr>
          <w:p w14:paraId="424D2825" w14:textId="77777777" w:rsidR="007E6BD2" w:rsidRPr="00434B30" w:rsidRDefault="007E6BD2" w:rsidP="00494FE2">
            <w:pPr>
              <w:rPr>
                <w:rFonts w:ascii="Arial" w:hAnsi="Arial" w:cs="Arial"/>
                <w:sz w:val="24"/>
                <w:szCs w:val="24"/>
              </w:rPr>
            </w:pPr>
          </w:p>
        </w:tc>
      </w:tr>
      <w:tr w:rsidR="007E6BD2" w:rsidRPr="00434B30" w14:paraId="243190DA" w14:textId="77777777" w:rsidTr="00494FE2">
        <w:tc>
          <w:tcPr>
            <w:tcW w:w="3369" w:type="dxa"/>
          </w:tcPr>
          <w:p w14:paraId="05DB779F" w14:textId="77777777" w:rsidR="007E6BD2" w:rsidRPr="00434B30" w:rsidRDefault="007E6BD2" w:rsidP="00494FE2">
            <w:pPr>
              <w:jc w:val="both"/>
              <w:rPr>
                <w:rFonts w:ascii="Arial" w:hAnsi="Arial" w:cs="Arial"/>
                <w:b/>
                <w:sz w:val="24"/>
                <w:szCs w:val="24"/>
              </w:rPr>
            </w:pPr>
            <w:r w:rsidRPr="00434B30">
              <w:rPr>
                <w:rFonts w:ascii="Arial" w:hAnsi="Arial" w:cs="Arial"/>
                <w:sz w:val="24"/>
                <w:szCs w:val="24"/>
              </w:rPr>
              <w:t>Explain why the Company/Group is unable to comply with that paragraph of the Accounting Standards.</w:t>
            </w:r>
            <w:r w:rsidRPr="00434B30">
              <w:rPr>
                <w:rStyle w:val="FootnoteReference"/>
                <w:rFonts w:ascii="Arial" w:hAnsi="Arial" w:cs="Arial"/>
                <w:b/>
                <w:sz w:val="24"/>
                <w:szCs w:val="24"/>
              </w:rPr>
              <w:t xml:space="preserve"> </w:t>
            </w:r>
          </w:p>
          <w:p w14:paraId="4F88BDD1" w14:textId="77777777" w:rsidR="007E6BD2" w:rsidRPr="00434B30" w:rsidRDefault="007E6BD2" w:rsidP="00494FE2">
            <w:pPr>
              <w:jc w:val="both"/>
              <w:rPr>
                <w:rFonts w:ascii="Arial" w:hAnsi="Arial" w:cs="Arial"/>
                <w:sz w:val="24"/>
                <w:szCs w:val="24"/>
              </w:rPr>
            </w:pPr>
          </w:p>
        </w:tc>
        <w:tc>
          <w:tcPr>
            <w:tcW w:w="5811" w:type="dxa"/>
          </w:tcPr>
          <w:p w14:paraId="4BE6D776" w14:textId="77777777" w:rsidR="007E6BD2" w:rsidRPr="00434B30" w:rsidRDefault="007E6BD2" w:rsidP="00494FE2">
            <w:pPr>
              <w:rPr>
                <w:rFonts w:ascii="Arial" w:hAnsi="Arial" w:cs="Arial"/>
                <w:sz w:val="24"/>
                <w:szCs w:val="24"/>
              </w:rPr>
            </w:pPr>
          </w:p>
          <w:p w14:paraId="71E4B037" w14:textId="77777777" w:rsidR="007E6BD2" w:rsidRPr="00434B30" w:rsidRDefault="007E6BD2" w:rsidP="00494FE2">
            <w:pPr>
              <w:rPr>
                <w:rFonts w:ascii="Arial" w:hAnsi="Arial" w:cs="Arial"/>
                <w:sz w:val="24"/>
                <w:szCs w:val="24"/>
              </w:rPr>
            </w:pPr>
          </w:p>
          <w:p w14:paraId="6D4932D3" w14:textId="77777777" w:rsidR="007E6BD2" w:rsidRPr="00434B30" w:rsidRDefault="007E6BD2" w:rsidP="00494FE2">
            <w:pPr>
              <w:rPr>
                <w:rFonts w:ascii="Arial" w:hAnsi="Arial" w:cs="Arial"/>
                <w:sz w:val="24"/>
                <w:szCs w:val="24"/>
              </w:rPr>
            </w:pPr>
          </w:p>
          <w:p w14:paraId="2C2FCACE" w14:textId="77777777" w:rsidR="007E6BD2" w:rsidRPr="00434B30" w:rsidRDefault="007E6BD2" w:rsidP="00494FE2">
            <w:pPr>
              <w:rPr>
                <w:rFonts w:ascii="Arial" w:hAnsi="Arial" w:cs="Arial"/>
                <w:sz w:val="24"/>
                <w:szCs w:val="24"/>
              </w:rPr>
            </w:pPr>
          </w:p>
          <w:p w14:paraId="408407F1" w14:textId="77777777" w:rsidR="007E6BD2" w:rsidRPr="00434B30" w:rsidRDefault="007E6BD2" w:rsidP="00494FE2">
            <w:pPr>
              <w:rPr>
                <w:rFonts w:ascii="Arial" w:hAnsi="Arial" w:cs="Arial"/>
                <w:sz w:val="24"/>
                <w:szCs w:val="24"/>
              </w:rPr>
            </w:pPr>
          </w:p>
        </w:tc>
      </w:tr>
      <w:tr w:rsidR="007E6BD2" w:rsidRPr="002D6CA9" w14:paraId="75F85C8D" w14:textId="77777777" w:rsidTr="00494FE2">
        <w:tc>
          <w:tcPr>
            <w:tcW w:w="3369" w:type="dxa"/>
          </w:tcPr>
          <w:p w14:paraId="1C8ECF0B" w14:textId="77777777" w:rsidR="007E6BD2" w:rsidRPr="00434B30" w:rsidRDefault="007E6BD2" w:rsidP="00494FE2">
            <w:pPr>
              <w:jc w:val="both"/>
              <w:rPr>
                <w:rFonts w:ascii="Arial" w:hAnsi="Arial" w:cs="Arial"/>
                <w:sz w:val="24"/>
                <w:szCs w:val="24"/>
              </w:rPr>
            </w:pPr>
            <w:r w:rsidRPr="00434B30">
              <w:rPr>
                <w:rFonts w:ascii="Arial" w:hAnsi="Arial" w:cs="Arial"/>
                <w:sz w:val="24"/>
                <w:szCs w:val="24"/>
              </w:rPr>
              <w:t>State whether the compliance with the Accounting Standards would be unduly burdensome</w:t>
            </w:r>
            <w:r w:rsidR="00387033">
              <w:rPr>
                <w:rStyle w:val="FootnoteReference"/>
                <w:rFonts w:ascii="Arial" w:hAnsi="Arial" w:cs="Arial"/>
                <w:sz w:val="24"/>
                <w:szCs w:val="24"/>
              </w:rPr>
              <w:footnoteReference w:id="2"/>
            </w:r>
            <w:r w:rsidRPr="00434B30">
              <w:rPr>
                <w:rFonts w:ascii="Arial" w:hAnsi="Arial" w:cs="Arial"/>
                <w:sz w:val="24"/>
                <w:szCs w:val="24"/>
              </w:rPr>
              <w:t xml:space="preserve"> to the Company/Group and if yes, please state the reason(s). </w:t>
            </w:r>
          </w:p>
          <w:p w14:paraId="2DA9964A" w14:textId="77777777" w:rsidR="007E6BD2" w:rsidRDefault="007E6BD2" w:rsidP="00387033">
            <w:pPr>
              <w:jc w:val="both"/>
              <w:rPr>
                <w:rFonts w:ascii="Arial" w:hAnsi="Arial" w:cs="Arial"/>
                <w:sz w:val="24"/>
                <w:szCs w:val="24"/>
              </w:rPr>
            </w:pPr>
          </w:p>
        </w:tc>
        <w:tc>
          <w:tcPr>
            <w:tcW w:w="5811" w:type="dxa"/>
          </w:tcPr>
          <w:p w14:paraId="5DF75EB0" w14:textId="77777777" w:rsidR="007E6BD2" w:rsidRPr="002D6CA9" w:rsidRDefault="007E6BD2" w:rsidP="00494FE2">
            <w:pPr>
              <w:rPr>
                <w:rFonts w:ascii="Arial" w:hAnsi="Arial" w:cs="Arial"/>
                <w:sz w:val="24"/>
                <w:szCs w:val="24"/>
              </w:rPr>
            </w:pPr>
          </w:p>
        </w:tc>
      </w:tr>
      <w:tr w:rsidR="007E6BD2" w:rsidRPr="002D6CA9" w14:paraId="3445CE30" w14:textId="77777777" w:rsidTr="00494FE2">
        <w:tc>
          <w:tcPr>
            <w:tcW w:w="3369" w:type="dxa"/>
          </w:tcPr>
          <w:p w14:paraId="54038C86" w14:textId="77777777" w:rsidR="007E6BD2" w:rsidRDefault="007E6BD2" w:rsidP="00494FE2">
            <w:pPr>
              <w:jc w:val="both"/>
              <w:rPr>
                <w:rFonts w:ascii="Arial" w:hAnsi="Arial" w:cs="Arial"/>
                <w:sz w:val="24"/>
                <w:szCs w:val="24"/>
              </w:rPr>
            </w:pPr>
            <w:r>
              <w:rPr>
                <w:rFonts w:ascii="Arial" w:hAnsi="Arial" w:cs="Arial"/>
                <w:sz w:val="24"/>
                <w:szCs w:val="24"/>
              </w:rPr>
              <w:t xml:space="preserve">State </w:t>
            </w:r>
            <w:r w:rsidRPr="009F62B7">
              <w:rPr>
                <w:rFonts w:ascii="Arial" w:hAnsi="Arial" w:cs="Arial"/>
                <w:sz w:val="24"/>
                <w:szCs w:val="24"/>
              </w:rPr>
              <w:t xml:space="preserve">whether compliance with the </w:t>
            </w:r>
            <w:r>
              <w:rPr>
                <w:rFonts w:ascii="Arial" w:hAnsi="Arial" w:cs="Arial"/>
                <w:sz w:val="24"/>
                <w:szCs w:val="24"/>
              </w:rPr>
              <w:t>A</w:t>
            </w:r>
            <w:r w:rsidRPr="009F62B7">
              <w:rPr>
                <w:rFonts w:ascii="Arial" w:hAnsi="Arial" w:cs="Arial"/>
                <w:sz w:val="24"/>
                <w:szCs w:val="24"/>
              </w:rPr>
              <w:t xml:space="preserve">ccounting </w:t>
            </w:r>
            <w:r>
              <w:rPr>
                <w:rFonts w:ascii="Arial" w:hAnsi="Arial" w:cs="Arial"/>
                <w:sz w:val="24"/>
                <w:szCs w:val="24"/>
              </w:rPr>
              <w:lastRenderedPageBreak/>
              <w:t>S</w:t>
            </w:r>
            <w:r w:rsidRPr="009F62B7">
              <w:rPr>
                <w:rFonts w:ascii="Arial" w:hAnsi="Arial" w:cs="Arial"/>
                <w:sz w:val="24"/>
                <w:szCs w:val="24"/>
              </w:rPr>
              <w:t xml:space="preserve">tandards would render the </w:t>
            </w:r>
            <w:r w:rsidR="00D91E0B">
              <w:rPr>
                <w:rFonts w:ascii="Arial" w:hAnsi="Arial" w:cs="Arial"/>
                <w:sz w:val="24"/>
                <w:szCs w:val="24"/>
              </w:rPr>
              <w:t>financial statements</w:t>
            </w:r>
            <w:r w:rsidRPr="009F62B7">
              <w:rPr>
                <w:rFonts w:ascii="Arial" w:hAnsi="Arial" w:cs="Arial"/>
                <w:sz w:val="24"/>
                <w:szCs w:val="24"/>
              </w:rPr>
              <w:t xml:space="preserve"> misleading and if </w:t>
            </w:r>
            <w:r>
              <w:rPr>
                <w:rFonts w:ascii="Arial" w:hAnsi="Arial" w:cs="Arial"/>
                <w:sz w:val="24"/>
                <w:szCs w:val="24"/>
              </w:rPr>
              <w:t xml:space="preserve">yes, please state the reason(s). </w:t>
            </w:r>
          </w:p>
          <w:p w14:paraId="2732E1E6" w14:textId="77777777" w:rsidR="007E6BD2" w:rsidRDefault="007E6BD2" w:rsidP="00494FE2">
            <w:pPr>
              <w:jc w:val="both"/>
              <w:rPr>
                <w:rFonts w:ascii="Arial" w:hAnsi="Arial" w:cs="Arial"/>
                <w:sz w:val="24"/>
                <w:szCs w:val="24"/>
              </w:rPr>
            </w:pPr>
          </w:p>
        </w:tc>
        <w:tc>
          <w:tcPr>
            <w:tcW w:w="5811" w:type="dxa"/>
          </w:tcPr>
          <w:p w14:paraId="6610F9A3" w14:textId="77777777" w:rsidR="007E6BD2" w:rsidRPr="002D6CA9" w:rsidRDefault="007E6BD2" w:rsidP="00494FE2">
            <w:pPr>
              <w:rPr>
                <w:rFonts w:ascii="Arial" w:hAnsi="Arial" w:cs="Arial"/>
                <w:sz w:val="24"/>
                <w:szCs w:val="24"/>
              </w:rPr>
            </w:pPr>
          </w:p>
        </w:tc>
      </w:tr>
      <w:tr w:rsidR="007E6BD2" w:rsidRPr="002D6CA9" w14:paraId="78BAEF4B" w14:textId="77777777" w:rsidTr="00494FE2">
        <w:tc>
          <w:tcPr>
            <w:tcW w:w="3369" w:type="dxa"/>
          </w:tcPr>
          <w:p w14:paraId="7503D775" w14:textId="77777777" w:rsidR="007E6BD2" w:rsidRDefault="007E6BD2" w:rsidP="00494FE2">
            <w:pPr>
              <w:jc w:val="both"/>
              <w:rPr>
                <w:rFonts w:ascii="Arial" w:hAnsi="Arial" w:cs="Arial"/>
                <w:sz w:val="24"/>
                <w:szCs w:val="24"/>
              </w:rPr>
            </w:pPr>
            <w:r>
              <w:rPr>
                <w:rFonts w:ascii="Arial" w:hAnsi="Arial" w:cs="Arial"/>
                <w:sz w:val="24"/>
                <w:szCs w:val="24"/>
              </w:rPr>
              <w:t xml:space="preserve">State how and why the </w:t>
            </w:r>
            <w:r w:rsidRPr="009F62B7">
              <w:rPr>
                <w:rFonts w:ascii="Arial" w:hAnsi="Arial" w:cs="Arial"/>
                <w:sz w:val="24"/>
                <w:szCs w:val="24"/>
              </w:rPr>
              <w:t xml:space="preserve">non-compliance with the </w:t>
            </w:r>
            <w:r>
              <w:rPr>
                <w:rFonts w:ascii="Arial" w:hAnsi="Arial" w:cs="Arial"/>
                <w:sz w:val="24"/>
                <w:szCs w:val="24"/>
              </w:rPr>
              <w:t>A</w:t>
            </w:r>
            <w:r w:rsidRPr="009F62B7">
              <w:rPr>
                <w:rFonts w:ascii="Arial" w:hAnsi="Arial" w:cs="Arial"/>
                <w:sz w:val="24"/>
                <w:szCs w:val="24"/>
              </w:rPr>
              <w:t xml:space="preserve">ccounting </w:t>
            </w:r>
            <w:r>
              <w:rPr>
                <w:rFonts w:ascii="Arial" w:hAnsi="Arial" w:cs="Arial"/>
                <w:sz w:val="24"/>
                <w:szCs w:val="24"/>
              </w:rPr>
              <w:t>S</w:t>
            </w:r>
            <w:r w:rsidRPr="009F62B7">
              <w:rPr>
                <w:rFonts w:ascii="Arial" w:hAnsi="Arial" w:cs="Arial"/>
                <w:sz w:val="24"/>
                <w:szCs w:val="24"/>
              </w:rPr>
              <w:t xml:space="preserve">tandards would not prejudice the </w:t>
            </w:r>
            <w:r>
              <w:rPr>
                <w:rFonts w:ascii="Arial" w:hAnsi="Arial" w:cs="Arial"/>
                <w:sz w:val="24"/>
                <w:szCs w:val="24"/>
              </w:rPr>
              <w:t>C</w:t>
            </w:r>
            <w:r w:rsidRPr="009F62B7">
              <w:rPr>
                <w:rFonts w:ascii="Arial" w:hAnsi="Arial" w:cs="Arial"/>
                <w:sz w:val="24"/>
                <w:szCs w:val="24"/>
              </w:rPr>
              <w:t>ompany’s stake</w:t>
            </w:r>
            <w:r>
              <w:rPr>
                <w:rFonts w:ascii="Arial" w:hAnsi="Arial" w:cs="Arial"/>
                <w:sz w:val="24"/>
                <w:szCs w:val="24"/>
              </w:rPr>
              <w:t>holders who rely on the financial statements</w:t>
            </w:r>
            <w:r w:rsidRPr="009F62B7">
              <w:rPr>
                <w:rFonts w:ascii="Arial" w:hAnsi="Arial" w:cs="Arial"/>
                <w:sz w:val="24"/>
                <w:szCs w:val="24"/>
              </w:rPr>
              <w:t>.</w:t>
            </w:r>
          </w:p>
          <w:p w14:paraId="2F6DA368" w14:textId="77777777" w:rsidR="007E6BD2" w:rsidRDefault="007E6BD2" w:rsidP="00494FE2">
            <w:pPr>
              <w:jc w:val="both"/>
              <w:rPr>
                <w:rFonts w:ascii="Arial" w:hAnsi="Arial" w:cs="Arial"/>
                <w:sz w:val="24"/>
                <w:szCs w:val="24"/>
              </w:rPr>
            </w:pPr>
          </w:p>
        </w:tc>
        <w:tc>
          <w:tcPr>
            <w:tcW w:w="5811" w:type="dxa"/>
          </w:tcPr>
          <w:p w14:paraId="1C22A905" w14:textId="77777777" w:rsidR="007E6BD2" w:rsidRPr="002D6CA9" w:rsidRDefault="007E6BD2" w:rsidP="00494FE2">
            <w:pPr>
              <w:rPr>
                <w:rFonts w:ascii="Arial" w:hAnsi="Arial" w:cs="Arial"/>
                <w:sz w:val="24"/>
                <w:szCs w:val="24"/>
              </w:rPr>
            </w:pPr>
          </w:p>
        </w:tc>
      </w:tr>
      <w:tr w:rsidR="007E6BD2" w:rsidRPr="002D6CA9" w14:paraId="69261B2F" w14:textId="77777777" w:rsidTr="00494FE2">
        <w:tc>
          <w:tcPr>
            <w:tcW w:w="3369" w:type="dxa"/>
          </w:tcPr>
          <w:p w14:paraId="367AFF37" w14:textId="77777777" w:rsidR="007E6BD2" w:rsidRDefault="007E6BD2" w:rsidP="00494FE2">
            <w:pPr>
              <w:rPr>
                <w:rFonts w:ascii="Arial" w:hAnsi="Arial" w:cs="Arial"/>
                <w:sz w:val="24"/>
                <w:szCs w:val="24"/>
              </w:rPr>
            </w:pPr>
          </w:p>
        </w:tc>
        <w:tc>
          <w:tcPr>
            <w:tcW w:w="5811" w:type="dxa"/>
          </w:tcPr>
          <w:p w14:paraId="279DBB45" w14:textId="77777777" w:rsidR="007E6BD2" w:rsidRPr="002D6CA9" w:rsidRDefault="007E6BD2" w:rsidP="00494FE2">
            <w:pPr>
              <w:rPr>
                <w:rFonts w:ascii="Arial" w:hAnsi="Arial" w:cs="Arial"/>
                <w:sz w:val="24"/>
                <w:szCs w:val="24"/>
              </w:rPr>
            </w:pPr>
          </w:p>
        </w:tc>
      </w:tr>
      <w:tr w:rsidR="007E6BD2" w:rsidRPr="002D6CA9" w14:paraId="09495E83" w14:textId="77777777" w:rsidTr="00494FE2">
        <w:tc>
          <w:tcPr>
            <w:tcW w:w="9180" w:type="dxa"/>
            <w:gridSpan w:val="2"/>
          </w:tcPr>
          <w:p w14:paraId="75EDC119" w14:textId="77777777" w:rsidR="007E6BD2" w:rsidRDefault="007E6BD2" w:rsidP="00494FE2">
            <w:pPr>
              <w:rPr>
                <w:rFonts w:ascii="Arial" w:hAnsi="Arial" w:cs="Arial"/>
                <w:b/>
                <w:sz w:val="24"/>
                <w:szCs w:val="24"/>
              </w:rPr>
            </w:pPr>
            <w:r w:rsidRPr="002F22C8">
              <w:rPr>
                <w:rFonts w:ascii="Arial" w:hAnsi="Arial" w:cs="Arial"/>
                <w:b/>
                <w:sz w:val="24"/>
                <w:szCs w:val="24"/>
              </w:rPr>
              <w:t>For companies seeking not to prepare their financial statements in accordance with Singapore Financial Reporting Standard</w:t>
            </w:r>
          </w:p>
          <w:p w14:paraId="3D15D2EB" w14:textId="77777777" w:rsidR="002247F1" w:rsidRPr="00AB671E" w:rsidRDefault="002247F1" w:rsidP="00494FE2">
            <w:pPr>
              <w:rPr>
                <w:rFonts w:ascii="Arial" w:hAnsi="Arial" w:cs="Arial"/>
                <w:i/>
                <w:sz w:val="24"/>
                <w:szCs w:val="24"/>
              </w:rPr>
            </w:pPr>
            <w:r w:rsidRPr="00AB671E">
              <w:rPr>
                <w:rFonts w:ascii="Arial" w:hAnsi="Arial" w:cs="Arial"/>
                <w:i/>
                <w:sz w:val="24"/>
                <w:szCs w:val="24"/>
              </w:rPr>
              <w:t>[Note: Registrar will generally not allow reporting of financial statements in accordance to International Financial Reporting Standards (“IFRS”). Companies will be required to explore simultaneous compliance reporting with both Singapore Financial Reporting Standards (International) [“SFRS(I)”] and IFRS.]</w:t>
            </w:r>
          </w:p>
        </w:tc>
      </w:tr>
      <w:tr w:rsidR="007E6BD2" w:rsidRPr="002D6CA9" w14:paraId="766FE424" w14:textId="77777777" w:rsidTr="00494FE2">
        <w:tc>
          <w:tcPr>
            <w:tcW w:w="3369" w:type="dxa"/>
          </w:tcPr>
          <w:p w14:paraId="5EBB7299" w14:textId="77777777" w:rsidR="007E6BD2" w:rsidRDefault="007E6BD2" w:rsidP="00494FE2">
            <w:pPr>
              <w:jc w:val="both"/>
              <w:rPr>
                <w:rFonts w:ascii="Arial" w:hAnsi="Arial" w:cs="Arial"/>
                <w:sz w:val="24"/>
                <w:szCs w:val="24"/>
              </w:rPr>
            </w:pPr>
            <w:r>
              <w:rPr>
                <w:rFonts w:ascii="Arial" w:hAnsi="Arial" w:cs="Arial"/>
                <w:sz w:val="24"/>
                <w:szCs w:val="24"/>
              </w:rPr>
              <w:t xml:space="preserve">Attach a statement of declaration from the Board of Directors stating that they had verified and confirmed that the listing rules of the foreign stock exchange which the company is listed on, does not permit the preparation of the company’s financial statements in accordance with the Accounting Standards. </w:t>
            </w:r>
          </w:p>
          <w:p w14:paraId="58283B76" w14:textId="77777777" w:rsidR="007E6BD2" w:rsidRDefault="007E6BD2" w:rsidP="00494FE2">
            <w:pPr>
              <w:jc w:val="both"/>
              <w:rPr>
                <w:rFonts w:ascii="Arial" w:hAnsi="Arial" w:cs="Arial"/>
                <w:sz w:val="24"/>
                <w:szCs w:val="24"/>
              </w:rPr>
            </w:pPr>
          </w:p>
          <w:p w14:paraId="1A7DFC94" w14:textId="77777777" w:rsidR="007E6BD2" w:rsidRPr="00C82F5E" w:rsidRDefault="007E6BD2" w:rsidP="00494FE2">
            <w:pPr>
              <w:jc w:val="both"/>
              <w:rPr>
                <w:rFonts w:ascii="Arial" w:hAnsi="Arial" w:cs="Arial"/>
                <w:i/>
                <w:sz w:val="24"/>
                <w:szCs w:val="24"/>
              </w:rPr>
            </w:pPr>
            <w:r w:rsidRPr="00C82F5E">
              <w:rPr>
                <w:rFonts w:ascii="Arial" w:hAnsi="Arial" w:cs="Arial"/>
                <w:i/>
                <w:sz w:val="24"/>
                <w:szCs w:val="24"/>
              </w:rPr>
              <w:t>[</w:t>
            </w:r>
            <w:r>
              <w:rPr>
                <w:rFonts w:ascii="Arial" w:hAnsi="Arial" w:cs="Arial"/>
                <w:i/>
                <w:sz w:val="24"/>
                <w:szCs w:val="24"/>
              </w:rPr>
              <w:t xml:space="preserve">Guidance note: </w:t>
            </w:r>
            <w:r w:rsidRPr="00C82F5E">
              <w:rPr>
                <w:rFonts w:ascii="Arial" w:hAnsi="Arial" w:cs="Arial"/>
                <w:i/>
                <w:sz w:val="24"/>
                <w:szCs w:val="24"/>
              </w:rPr>
              <w:t>Please use the format of the declaration attached on the right side of the table.]</w:t>
            </w:r>
          </w:p>
          <w:p w14:paraId="6E4F8404" w14:textId="77777777" w:rsidR="007E6BD2" w:rsidRDefault="007E6BD2" w:rsidP="00494FE2">
            <w:pPr>
              <w:rPr>
                <w:rFonts w:ascii="Arial" w:hAnsi="Arial" w:cs="Arial"/>
                <w:sz w:val="24"/>
                <w:szCs w:val="24"/>
              </w:rPr>
            </w:pPr>
          </w:p>
          <w:p w14:paraId="7B888DE0" w14:textId="77777777" w:rsidR="00B63581" w:rsidRPr="002D6CA9" w:rsidRDefault="00B63581" w:rsidP="00AB671E">
            <w:pPr>
              <w:jc w:val="both"/>
              <w:rPr>
                <w:rFonts w:ascii="Arial" w:hAnsi="Arial" w:cs="Arial"/>
                <w:sz w:val="24"/>
                <w:szCs w:val="24"/>
              </w:rPr>
            </w:pPr>
          </w:p>
        </w:tc>
        <w:tc>
          <w:tcPr>
            <w:tcW w:w="5811" w:type="dxa"/>
          </w:tcPr>
          <w:p w14:paraId="40B7D777" w14:textId="77777777" w:rsidR="007E6BD2" w:rsidRDefault="007E6BD2" w:rsidP="00494FE2">
            <w:pPr>
              <w:rPr>
                <w:rFonts w:ascii="Arial" w:hAnsi="Arial" w:cs="Arial"/>
                <w:sz w:val="24"/>
                <w:szCs w:val="24"/>
              </w:rPr>
            </w:pPr>
            <w:r>
              <w:rPr>
                <w:rFonts w:ascii="Arial" w:hAnsi="Arial" w:cs="Arial"/>
                <w:sz w:val="24"/>
                <w:szCs w:val="24"/>
              </w:rPr>
              <w:t xml:space="preserve"> </w:t>
            </w:r>
          </w:p>
          <w:bookmarkStart w:id="0" w:name="_GoBack"/>
          <w:bookmarkStart w:id="1" w:name="_MON_1482822580"/>
          <w:bookmarkEnd w:id="1"/>
          <w:p w14:paraId="67D1CB44" w14:textId="67E58DDC" w:rsidR="007E6BD2" w:rsidRPr="002D6CA9" w:rsidRDefault="00D00C74" w:rsidP="00494FE2">
            <w:pPr>
              <w:rPr>
                <w:rFonts w:ascii="Arial" w:hAnsi="Arial" w:cs="Arial"/>
                <w:sz w:val="24"/>
                <w:szCs w:val="24"/>
              </w:rPr>
            </w:pPr>
            <w:r>
              <w:rPr>
                <w:rFonts w:ascii="Arial" w:hAnsi="Arial" w:cs="Arial"/>
                <w:sz w:val="24"/>
                <w:szCs w:val="24"/>
              </w:rPr>
              <w:object w:dxaOrig="2069" w:dyaOrig="1339" w14:anchorId="5CBF4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2pt;height:67.2pt" o:ole="">
                  <v:imagedata r:id="rId11" o:title=""/>
                </v:shape>
                <o:OLEObject Type="Embed" ProgID="Word.Document.12" ShapeID="_x0000_i1028" DrawAspect="Icon" ObjectID="_1675758224" r:id="rId12">
                  <o:FieldCodes>\s</o:FieldCodes>
                </o:OLEObject>
              </w:object>
            </w:r>
            <w:bookmarkEnd w:id="0"/>
          </w:p>
        </w:tc>
      </w:tr>
    </w:tbl>
    <w:p w14:paraId="3D901D42" w14:textId="77777777" w:rsidR="004F1F5C" w:rsidRPr="002D6CA9" w:rsidRDefault="004F1F5C" w:rsidP="005D5A62">
      <w:pPr>
        <w:autoSpaceDE w:val="0"/>
        <w:autoSpaceDN w:val="0"/>
        <w:adjustRightInd w:val="0"/>
        <w:spacing w:after="0"/>
        <w:jc w:val="both"/>
        <w:rPr>
          <w:rFonts w:ascii="Arial" w:hAnsi="Arial" w:cs="Arial"/>
          <w:sz w:val="24"/>
          <w:szCs w:val="24"/>
        </w:rPr>
      </w:pPr>
    </w:p>
    <w:sectPr w:rsidR="004F1F5C" w:rsidRPr="002D6CA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01552" w14:textId="77777777" w:rsidR="00EA5A41" w:rsidRDefault="00EA5A41" w:rsidP="0071738C">
      <w:pPr>
        <w:spacing w:after="0" w:line="240" w:lineRule="auto"/>
      </w:pPr>
      <w:r>
        <w:separator/>
      </w:r>
    </w:p>
  </w:endnote>
  <w:endnote w:type="continuationSeparator" w:id="0">
    <w:p w14:paraId="76C2FBAF" w14:textId="77777777" w:rsidR="00EA5A41" w:rsidRDefault="00EA5A41" w:rsidP="0071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0C9E" w14:textId="77777777" w:rsidR="00EA5A41" w:rsidRDefault="00EA5A41" w:rsidP="0071738C">
      <w:pPr>
        <w:spacing w:after="0" w:line="240" w:lineRule="auto"/>
      </w:pPr>
      <w:r>
        <w:separator/>
      </w:r>
    </w:p>
  </w:footnote>
  <w:footnote w:type="continuationSeparator" w:id="0">
    <w:p w14:paraId="4986FEE1" w14:textId="77777777" w:rsidR="00EA5A41" w:rsidRDefault="00EA5A41" w:rsidP="0071738C">
      <w:pPr>
        <w:spacing w:after="0" w:line="240" w:lineRule="auto"/>
      </w:pPr>
      <w:r>
        <w:continuationSeparator/>
      </w:r>
    </w:p>
  </w:footnote>
  <w:footnote w:id="1">
    <w:p w14:paraId="1FC095C1" w14:textId="77777777" w:rsidR="007E6BD2" w:rsidRPr="00387033" w:rsidRDefault="007E6BD2" w:rsidP="00E06F90">
      <w:pPr>
        <w:pStyle w:val="FootnoteText"/>
        <w:ind w:left="567" w:hanging="567"/>
        <w:jc w:val="both"/>
        <w:rPr>
          <w:rFonts w:ascii="Arial" w:hAnsi="Arial" w:cs="Arial"/>
        </w:rPr>
      </w:pPr>
      <w:r w:rsidRPr="00387033">
        <w:rPr>
          <w:rStyle w:val="FootnoteReference"/>
          <w:rFonts w:ascii="Arial" w:hAnsi="Arial" w:cs="Arial"/>
        </w:rPr>
        <w:footnoteRef/>
      </w:r>
      <w:r w:rsidRPr="00387033">
        <w:rPr>
          <w:rFonts w:ascii="Arial" w:hAnsi="Arial" w:cs="Arial"/>
        </w:rPr>
        <w:t xml:space="preserve"> </w:t>
      </w:r>
      <w:r w:rsidRPr="00387033">
        <w:rPr>
          <w:rFonts w:ascii="Arial" w:hAnsi="Arial" w:cs="Arial"/>
        </w:rPr>
        <w:tab/>
        <w:t>Accounting Standards refer to Singapore Financial Reporting Standards (SFRS), Singapore Financial Reporting Standards for Small Entities (SFRS for SE)</w:t>
      </w:r>
      <w:r w:rsidR="00AE729A">
        <w:rPr>
          <w:rFonts w:ascii="Arial" w:hAnsi="Arial" w:cs="Arial"/>
        </w:rPr>
        <w:t>, Singapore Financial Reporting Standards (International) [SFRS(I)]</w:t>
      </w:r>
      <w:r w:rsidRPr="00387033">
        <w:rPr>
          <w:rFonts w:ascii="Arial" w:hAnsi="Arial" w:cs="Arial"/>
        </w:rPr>
        <w:t xml:space="preserve"> or Charities Accounting Standards, as issued by the Accounting Standards Council, as may be applicable to the company.</w:t>
      </w:r>
    </w:p>
    <w:p w14:paraId="3A3DC59C" w14:textId="77777777" w:rsidR="007E6BD2" w:rsidRPr="00387033" w:rsidRDefault="007E6BD2" w:rsidP="00E06F90">
      <w:pPr>
        <w:pStyle w:val="FootnoteText"/>
        <w:ind w:left="567" w:hanging="567"/>
        <w:jc w:val="both"/>
        <w:rPr>
          <w:rFonts w:ascii="Arial" w:hAnsi="Arial" w:cs="Arial"/>
          <w:lang w:val="en-US"/>
        </w:rPr>
      </w:pPr>
    </w:p>
  </w:footnote>
  <w:footnote w:id="2">
    <w:p w14:paraId="6ED2C9DC" w14:textId="77777777" w:rsidR="00387033" w:rsidRPr="00387033" w:rsidRDefault="00387033" w:rsidP="00E06F90">
      <w:pPr>
        <w:spacing w:after="0" w:line="240" w:lineRule="auto"/>
        <w:ind w:left="567" w:hanging="567"/>
        <w:jc w:val="both"/>
        <w:rPr>
          <w:rFonts w:ascii="Arial" w:hAnsi="Arial" w:cs="Arial"/>
          <w:sz w:val="20"/>
          <w:szCs w:val="20"/>
        </w:rPr>
      </w:pPr>
      <w:r w:rsidRPr="00387033">
        <w:rPr>
          <w:rStyle w:val="FootnoteReference"/>
          <w:rFonts w:ascii="Arial" w:hAnsi="Arial" w:cs="Arial"/>
          <w:sz w:val="20"/>
          <w:szCs w:val="20"/>
        </w:rPr>
        <w:footnoteRef/>
      </w:r>
      <w:r w:rsidRPr="00387033">
        <w:rPr>
          <w:rFonts w:ascii="Arial" w:hAnsi="Arial" w:cs="Arial"/>
          <w:sz w:val="20"/>
          <w:szCs w:val="20"/>
        </w:rPr>
        <w:t xml:space="preserve"> </w:t>
      </w:r>
      <w:r w:rsidR="00AA4484">
        <w:rPr>
          <w:rFonts w:ascii="Arial" w:hAnsi="Arial" w:cs="Arial"/>
          <w:sz w:val="20"/>
          <w:szCs w:val="20"/>
        </w:rPr>
        <w:tab/>
      </w:r>
      <w:r w:rsidRPr="00387033">
        <w:rPr>
          <w:rFonts w:ascii="Arial" w:hAnsi="Arial" w:cs="Arial"/>
          <w:sz w:val="20"/>
          <w:szCs w:val="20"/>
        </w:rPr>
        <w:t xml:space="preserve">Generally, </w:t>
      </w:r>
      <w:r>
        <w:rPr>
          <w:rFonts w:ascii="Arial" w:hAnsi="Arial" w:cs="Arial"/>
          <w:sz w:val="20"/>
          <w:szCs w:val="20"/>
        </w:rPr>
        <w:t>costs of compliance</w:t>
      </w:r>
      <w:r w:rsidRPr="00387033">
        <w:rPr>
          <w:rFonts w:ascii="Arial" w:hAnsi="Arial" w:cs="Arial"/>
          <w:sz w:val="20"/>
          <w:szCs w:val="20"/>
        </w:rPr>
        <w:t xml:space="preserve">, by itself, may be insufficient to justify that compliance would be unduly burdensome. </w:t>
      </w:r>
    </w:p>
    <w:p w14:paraId="2796F51C" w14:textId="77777777" w:rsidR="00387033" w:rsidRPr="00387033" w:rsidRDefault="0038703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4F70" w14:textId="77777777" w:rsidR="002D15DF" w:rsidRDefault="007E6BD2" w:rsidP="007E6BD2">
    <w:pPr>
      <w:spacing w:after="0" w:line="240" w:lineRule="auto"/>
      <w:rPr>
        <w:rFonts w:ascii="Arial" w:hAnsi="Arial" w:cs="Arial"/>
        <w:b/>
        <w:sz w:val="24"/>
        <w:szCs w:val="24"/>
      </w:rPr>
    </w:pPr>
    <w:r w:rsidRPr="002D6CA9">
      <w:rPr>
        <w:rFonts w:ascii="Arial" w:hAnsi="Arial" w:cs="Arial"/>
        <w:b/>
        <w:sz w:val="24"/>
        <w:szCs w:val="24"/>
      </w:rPr>
      <w:t xml:space="preserve">Application </w:t>
    </w:r>
    <w:r>
      <w:rPr>
        <w:rFonts w:ascii="Arial" w:hAnsi="Arial" w:cs="Arial"/>
        <w:b/>
        <w:sz w:val="24"/>
        <w:szCs w:val="24"/>
      </w:rPr>
      <w:t xml:space="preserve">under Section 201(12) of the Companies Act </w:t>
    </w:r>
  </w:p>
  <w:p w14:paraId="18DC4F4F" w14:textId="77777777" w:rsidR="007E6BD2" w:rsidRDefault="007E6BD2" w:rsidP="007E6BD2">
    <w:pPr>
      <w:spacing w:after="0" w:line="240" w:lineRule="auto"/>
      <w:rPr>
        <w:rFonts w:ascii="Arial" w:hAnsi="Arial" w:cs="Arial"/>
        <w:b/>
        <w:sz w:val="24"/>
        <w:szCs w:val="24"/>
      </w:rPr>
    </w:pPr>
    <w:r>
      <w:rPr>
        <w:rFonts w:ascii="Arial" w:hAnsi="Arial" w:cs="Arial"/>
        <w:b/>
        <w:sz w:val="24"/>
        <w:szCs w:val="24"/>
      </w:rPr>
      <w:t xml:space="preserve">– </w:t>
    </w:r>
    <w:r w:rsidR="002D15DF">
      <w:rPr>
        <w:rFonts w:ascii="Arial" w:hAnsi="Arial" w:cs="Arial"/>
        <w:b/>
        <w:sz w:val="24"/>
        <w:szCs w:val="24"/>
      </w:rPr>
      <w:t xml:space="preserve">Exemption from </w:t>
    </w:r>
    <w:r>
      <w:rPr>
        <w:rFonts w:ascii="Arial" w:hAnsi="Arial" w:cs="Arial"/>
        <w:b/>
        <w:sz w:val="24"/>
        <w:szCs w:val="24"/>
      </w:rPr>
      <w:t>Compliance with the Accounting Standards</w:t>
    </w:r>
    <w:r>
      <w:rPr>
        <w:rStyle w:val="FootnoteReference"/>
        <w:rFonts w:ascii="Arial" w:hAnsi="Arial" w:cs="Arial"/>
        <w:b/>
        <w:sz w:val="24"/>
        <w:szCs w:val="24"/>
      </w:rPr>
      <w:footnoteRef/>
    </w:r>
  </w:p>
  <w:p w14:paraId="56DB5873" w14:textId="77777777" w:rsidR="007E6BD2" w:rsidRDefault="007E6BD2" w:rsidP="007E6BD2">
    <w:pPr>
      <w:pStyle w:val="Header"/>
      <w:pBdr>
        <w:bottom w:val="single" w:sz="4" w:space="1" w:color="auto"/>
      </w:pBdr>
    </w:pPr>
  </w:p>
  <w:p w14:paraId="37DD09F2" w14:textId="77777777" w:rsidR="007E6BD2" w:rsidRDefault="007E6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1071D"/>
    <w:multiLevelType w:val="hybridMultilevel"/>
    <w:tmpl w:val="97DE8D28"/>
    <w:lvl w:ilvl="0" w:tplc="8EE08A06">
      <w:start w:val="5"/>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90A4395"/>
    <w:multiLevelType w:val="hybridMultilevel"/>
    <w:tmpl w:val="0220CD8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4F45C88"/>
    <w:multiLevelType w:val="hybridMultilevel"/>
    <w:tmpl w:val="6D1C44A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9775DD"/>
    <w:multiLevelType w:val="hybridMultilevel"/>
    <w:tmpl w:val="129E87D0"/>
    <w:lvl w:ilvl="0" w:tplc="BF28E2CC">
      <w:start w:val="1"/>
      <w:numFmt w:val="lowerLetter"/>
      <w:lvlText w:val="(%1)"/>
      <w:lvlJc w:val="left"/>
      <w:pPr>
        <w:ind w:left="720" w:hanging="360"/>
      </w:pPr>
      <w:rPr>
        <w:rFonts w:hint="default"/>
        <w:sz w:val="16"/>
        <w:szCs w:val="1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F653EC2"/>
    <w:multiLevelType w:val="hybridMultilevel"/>
    <w:tmpl w:val="6F14D064"/>
    <w:lvl w:ilvl="0" w:tplc="C128A1EC">
      <w:start w:val="29"/>
      <w:numFmt w:val="bullet"/>
      <w:lvlText w:val="-"/>
      <w:lvlJc w:val="left"/>
      <w:pPr>
        <w:ind w:left="108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6F9E50A8"/>
    <w:multiLevelType w:val="hybridMultilevel"/>
    <w:tmpl w:val="E378F442"/>
    <w:lvl w:ilvl="0" w:tplc="F9BE987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7F886B77"/>
    <w:multiLevelType w:val="hybridMultilevel"/>
    <w:tmpl w:val="26CCDD4A"/>
    <w:lvl w:ilvl="0" w:tplc="8732208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DA"/>
    <w:rsid w:val="00004E60"/>
    <w:rsid w:val="00006B37"/>
    <w:rsid w:val="000159E0"/>
    <w:rsid w:val="0003096B"/>
    <w:rsid w:val="000404D2"/>
    <w:rsid w:val="000C2B90"/>
    <w:rsid w:val="000C52FB"/>
    <w:rsid w:val="0011438D"/>
    <w:rsid w:val="0019190E"/>
    <w:rsid w:val="001E64C9"/>
    <w:rsid w:val="00211283"/>
    <w:rsid w:val="002247F1"/>
    <w:rsid w:val="002730CF"/>
    <w:rsid w:val="00285F36"/>
    <w:rsid w:val="002D15DF"/>
    <w:rsid w:val="002D5A3D"/>
    <w:rsid w:val="002F16F2"/>
    <w:rsid w:val="002F22C8"/>
    <w:rsid w:val="00387033"/>
    <w:rsid w:val="003D0D9F"/>
    <w:rsid w:val="004377AE"/>
    <w:rsid w:val="00441631"/>
    <w:rsid w:val="00454905"/>
    <w:rsid w:val="00497230"/>
    <w:rsid w:val="004C3BAA"/>
    <w:rsid w:val="004F1F5C"/>
    <w:rsid w:val="004F74CC"/>
    <w:rsid w:val="00521387"/>
    <w:rsid w:val="0052451A"/>
    <w:rsid w:val="00532A6A"/>
    <w:rsid w:val="005C6587"/>
    <w:rsid w:val="005D5A62"/>
    <w:rsid w:val="00607BB3"/>
    <w:rsid w:val="0062620E"/>
    <w:rsid w:val="006E275B"/>
    <w:rsid w:val="006F14C9"/>
    <w:rsid w:val="0071738C"/>
    <w:rsid w:val="00722FF4"/>
    <w:rsid w:val="00750275"/>
    <w:rsid w:val="007C378E"/>
    <w:rsid w:val="007E6BD2"/>
    <w:rsid w:val="00861506"/>
    <w:rsid w:val="0089015B"/>
    <w:rsid w:val="008C4A20"/>
    <w:rsid w:val="008C7120"/>
    <w:rsid w:val="008D1F07"/>
    <w:rsid w:val="008D6608"/>
    <w:rsid w:val="00937AA5"/>
    <w:rsid w:val="0097452A"/>
    <w:rsid w:val="009A711B"/>
    <w:rsid w:val="009B46DA"/>
    <w:rsid w:val="009C7F54"/>
    <w:rsid w:val="009E298C"/>
    <w:rsid w:val="00A03AF5"/>
    <w:rsid w:val="00A72D46"/>
    <w:rsid w:val="00AA4484"/>
    <w:rsid w:val="00AB4CF4"/>
    <w:rsid w:val="00AB671E"/>
    <w:rsid w:val="00AE729A"/>
    <w:rsid w:val="00B63581"/>
    <w:rsid w:val="00B728F5"/>
    <w:rsid w:val="00B82A93"/>
    <w:rsid w:val="00BA008B"/>
    <w:rsid w:val="00BC0B54"/>
    <w:rsid w:val="00BC673C"/>
    <w:rsid w:val="00BD2732"/>
    <w:rsid w:val="00BF1A4B"/>
    <w:rsid w:val="00BF351B"/>
    <w:rsid w:val="00BF5C1E"/>
    <w:rsid w:val="00C82F5E"/>
    <w:rsid w:val="00D00C74"/>
    <w:rsid w:val="00D112FE"/>
    <w:rsid w:val="00D2703F"/>
    <w:rsid w:val="00D90904"/>
    <w:rsid w:val="00D91E0B"/>
    <w:rsid w:val="00DF247F"/>
    <w:rsid w:val="00E0630F"/>
    <w:rsid w:val="00E06F90"/>
    <w:rsid w:val="00E0794D"/>
    <w:rsid w:val="00E17F23"/>
    <w:rsid w:val="00E51B21"/>
    <w:rsid w:val="00E63657"/>
    <w:rsid w:val="00E72792"/>
    <w:rsid w:val="00EA5A41"/>
    <w:rsid w:val="00F060D2"/>
    <w:rsid w:val="00F43B97"/>
    <w:rsid w:val="00F50FAF"/>
    <w:rsid w:val="00F52F78"/>
    <w:rsid w:val="00F638C8"/>
    <w:rsid w:val="00F67C4A"/>
    <w:rsid w:val="00F72DDA"/>
    <w:rsid w:val="00F957FD"/>
    <w:rsid w:val="00FD42A9"/>
    <w:rsid w:val="00FF3EA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A787"/>
  <w15:docId w15:val="{612C2281-9B56-4AA0-9A1C-6FB24BF3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6DA"/>
    <w:pPr>
      <w:ind w:left="720"/>
      <w:contextualSpacing/>
    </w:pPr>
  </w:style>
  <w:style w:type="table" w:styleId="TableGrid">
    <w:name w:val="Table Grid"/>
    <w:basedOn w:val="TableNormal"/>
    <w:uiPriority w:val="59"/>
    <w:rsid w:val="00F7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8C"/>
  </w:style>
  <w:style w:type="paragraph" w:styleId="Footer">
    <w:name w:val="footer"/>
    <w:basedOn w:val="Normal"/>
    <w:link w:val="FooterChar"/>
    <w:uiPriority w:val="99"/>
    <w:unhideWhenUsed/>
    <w:rsid w:val="00717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8C"/>
  </w:style>
  <w:style w:type="paragraph" w:styleId="FootnoteText">
    <w:name w:val="footnote text"/>
    <w:basedOn w:val="Normal"/>
    <w:link w:val="FootnoteTextChar"/>
    <w:uiPriority w:val="99"/>
    <w:semiHidden/>
    <w:unhideWhenUsed/>
    <w:rsid w:val="00607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BB3"/>
    <w:rPr>
      <w:sz w:val="20"/>
      <w:szCs w:val="20"/>
    </w:rPr>
  </w:style>
  <w:style w:type="character" w:styleId="FootnoteReference">
    <w:name w:val="footnote reference"/>
    <w:basedOn w:val="DefaultParagraphFont"/>
    <w:uiPriority w:val="99"/>
    <w:semiHidden/>
    <w:unhideWhenUsed/>
    <w:rsid w:val="00607BB3"/>
    <w:rPr>
      <w:vertAlign w:val="superscript"/>
    </w:rPr>
  </w:style>
  <w:style w:type="paragraph" w:styleId="BalloonText">
    <w:name w:val="Balloon Text"/>
    <w:basedOn w:val="Normal"/>
    <w:link w:val="BalloonTextChar"/>
    <w:uiPriority w:val="99"/>
    <w:semiHidden/>
    <w:unhideWhenUsed/>
    <w:rsid w:val="007E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D2"/>
    <w:rPr>
      <w:rFonts w:ascii="Tahoma" w:hAnsi="Tahoma" w:cs="Tahoma"/>
      <w:sz w:val="16"/>
      <w:szCs w:val="16"/>
    </w:rPr>
  </w:style>
  <w:style w:type="character" w:styleId="CommentReference">
    <w:name w:val="annotation reference"/>
    <w:basedOn w:val="DefaultParagraphFont"/>
    <w:uiPriority w:val="99"/>
    <w:semiHidden/>
    <w:unhideWhenUsed/>
    <w:rsid w:val="006E275B"/>
    <w:rPr>
      <w:sz w:val="16"/>
      <w:szCs w:val="16"/>
    </w:rPr>
  </w:style>
  <w:style w:type="paragraph" w:styleId="CommentText">
    <w:name w:val="annotation text"/>
    <w:basedOn w:val="Normal"/>
    <w:link w:val="CommentTextChar"/>
    <w:uiPriority w:val="99"/>
    <w:semiHidden/>
    <w:unhideWhenUsed/>
    <w:rsid w:val="006E275B"/>
    <w:pPr>
      <w:spacing w:line="240" w:lineRule="auto"/>
    </w:pPr>
    <w:rPr>
      <w:sz w:val="20"/>
      <w:szCs w:val="20"/>
    </w:rPr>
  </w:style>
  <w:style w:type="character" w:customStyle="1" w:styleId="CommentTextChar">
    <w:name w:val="Comment Text Char"/>
    <w:basedOn w:val="DefaultParagraphFont"/>
    <w:link w:val="CommentText"/>
    <w:uiPriority w:val="99"/>
    <w:semiHidden/>
    <w:rsid w:val="006E275B"/>
    <w:rPr>
      <w:sz w:val="20"/>
      <w:szCs w:val="20"/>
    </w:rPr>
  </w:style>
  <w:style w:type="paragraph" w:styleId="CommentSubject">
    <w:name w:val="annotation subject"/>
    <w:basedOn w:val="CommentText"/>
    <w:next w:val="CommentText"/>
    <w:link w:val="CommentSubjectChar"/>
    <w:uiPriority w:val="99"/>
    <w:semiHidden/>
    <w:unhideWhenUsed/>
    <w:rsid w:val="006E275B"/>
    <w:rPr>
      <w:b/>
      <w:bCs/>
    </w:rPr>
  </w:style>
  <w:style w:type="character" w:customStyle="1" w:styleId="CommentSubjectChar">
    <w:name w:val="Comment Subject Char"/>
    <w:basedOn w:val="CommentTextChar"/>
    <w:link w:val="CommentSubject"/>
    <w:uiPriority w:val="99"/>
    <w:semiHidden/>
    <w:rsid w:val="006E2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7D7801D8EFBE4A9995443AE9C58F43" ma:contentTypeVersion="" ma:contentTypeDescription="Create a new document." ma:contentTypeScope="" ma:versionID="f4707254e4abe87c2dff6cd4455ea7f0">
  <xsd:schema xmlns:xsd="http://www.w3.org/2001/XMLSchema" xmlns:xs="http://www.w3.org/2001/XMLSchema" xmlns:p="http://schemas.microsoft.com/office/2006/metadata/properties" xmlns:ns2="56714029-F9E7-4E79-A3CA-5B448842D886" xmlns:ns3="d2f92514-1bf7-403d-9a3e-df7764d5ac2f" targetNamespace="http://schemas.microsoft.com/office/2006/metadata/properties" ma:root="true" ma:fieldsID="a38d01ba3006f6547f33fb1a80136b67" ns2:_="" ns3:_="">
    <xsd:import namespace="56714029-F9E7-4E79-A3CA-5B448842D886"/>
    <xsd:import namespace="d2f92514-1bf7-403d-9a3e-df7764d5ac2f"/>
    <xsd:element name="properties">
      <xsd:complexType>
        <xsd:sequence>
          <xsd:element name="documentManagement">
            <xsd:complexType>
              <xsd:all>
                <xsd:element ref="ns2:FiledeRegist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14029-F9E7-4E79-A3CA-5B448842D886" elementFormDefault="qualified">
    <xsd:import namespace="http://schemas.microsoft.com/office/2006/documentManagement/types"/>
    <xsd:import namespace="http://schemas.microsoft.com/office/infopath/2007/PartnerControls"/>
    <xsd:element name="FiledeRegistry" ma:index="8" nillable="true" ma:displayName="FiledeRegistry" ma:default="0" ma:internalName="FiledeRegistr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f92514-1bf7-403d-9a3e-df7764d5ac2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deRegistry xmlns="56714029-F9E7-4E79-A3CA-5B448842D886">false</FiledeRegistry>
    <SharedWithUsers xmlns="d2f92514-1bf7-403d-9a3e-df7764d5ac2f">
      <UserInfo>
        <DisplayName>Tan Keng Yong</DisplayName>
        <AccountId>229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5D61-612E-4081-91CF-C3800E077B0F}">
  <ds:schemaRefs>
    <ds:schemaRef ds:uri="http://schemas.microsoft.com/sharepoint/v3/contenttype/forms"/>
  </ds:schemaRefs>
</ds:datastoreItem>
</file>

<file path=customXml/itemProps2.xml><?xml version="1.0" encoding="utf-8"?>
<ds:datastoreItem xmlns:ds="http://schemas.openxmlformats.org/officeDocument/2006/customXml" ds:itemID="{ED3E5048-5F67-4A2B-B069-95218861F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14029-F9E7-4E79-A3CA-5B448842D886"/>
    <ds:schemaRef ds:uri="d2f92514-1bf7-403d-9a3e-df7764d5a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CE09E-3502-46C2-BEEA-9186EA43FEB2}">
  <ds:schemaRefs>
    <ds:schemaRef ds:uri="http://schemas.microsoft.com/office/2006/metadata/properties"/>
    <ds:schemaRef ds:uri="http://schemas.microsoft.com/office/infopath/2007/PartnerControls"/>
    <ds:schemaRef ds:uri="56714029-F9E7-4E79-A3CA-5B448842D886"/>
    <ds:schemaRef ds:uri="d2f92514-1bf7-403d-9a3e-df7764d5ac2f"/>
  </ds:schemaRefs>
</ds:datastoreItem>
</file>

<file path=customXml/itemProps4.xml><?xml version="1.0" encoding="utf-8"?>
<ds:datastoreItem xmlns:ds="http://schemas.openxmlformats.org/officeDocument/2006/customXml" ds:itemID="{2A251FE0-0203-4D16-9FE5-6EAB7190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Elicia ONG (ACRA)</dc:creator>
  <cp:lastModifiedBy>Elicia ONG (ACRA)</cp:lastModifiedBy>
  <cp:revision>2</cp:revision>
  <dcterms:created xsi:type="dcterms:W3CDTF">2021-02-17T06:55:00Z</dcterms:created>
  <dcterms:modified xsi:type="dcterms:W3CDTF">2021-02-25T03:34:00Z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0x010100327D7801D8EFBE4A9995443AE9C58F43</vt:lpwstr>
  </property>
  <property fmtid="{D5CDD505-2E9C-101B-9397-08002B2CF9AE}" pid="3" name="MSIP_Label_cb51e0fc-1c37-41ff-9297-afacea94f5a0_Enabled">
    <vt:lpwstr>True</vt:lpwstr>
  </property>
  <property fmtid="{D5CDD505-2E9C-101B-9397-08002B2CF9AE}" pid="4" name="MSIP_Label_cb51e0fc-1c37-41ff-9297-afacea94f5a0_SiteId">
    <vt:lpwstr>0b11c524-9a1c-4e1b-84cb-6336aefc2243</vt:lpwstr>
  </property>
  <property fmtid="{D5CDD505-2E9C-101B-9397-08002B2CF9AE}" pid="5" name="MSIP_Label_cb51e0fc-1c37-41ff-9297-afacea94f5a0_Owner">
    <vt:lpwstr>SIA_Su_Chun@acra.gov.sg</vt:lpwstr>
  </property>
  <property fmtid="{D5CDD505-2E9C-101B-9397-08002B2CF9AE}" pid="6" name="MSIP_Label_cb51e0fc-1c37-41ff-9297-afacea94f5a0_SetDate">
    <vt:lpwstr>2020-09-09T10:53:01.2147419Z</vt:lpwstr>
  </property>
  <property fmtid="{D5CDD505-2E9C-101B-9397-08002B2CF9AE}" pid="7" name="MSIP_Label_cb51e0fc-1c37-41ff-9297-afacea94f5a0_Name">
    <vt:lpwstr>RESTRICTED</vt:lpwstr>
  </property>
  <property fmtid="{D5CDD505-2E9C-101B-9397-08002B2CF9AE}" pid="8" name="MSIP_Label_cb51e0fc-1c37-41ff-9297-afacea94f5a0_Application">
    <vt:lpwstr>Microsoft Azure Information Protection</vt:lpwstr>
  </property>
  <property fmtid="{D5CDD505-2E9C-101B-9397-08002B2CF9AE}" pid="9" name="MSIP_Label_cb51e0fc-1c37-41ff-9297-afacea94f5a0_ActionId">
    <vt:lpwstr>04fea441-d746-4233-8ebf-55e85dc2c156</vt:lpwstr>
  </property>
  <property fmtid="{D5CDD505-2E9C-101B-9397-08002B2CF9AE}" pid="10" name="MSIP_Label_cb51e0fc-1c37-41ff-9297-afacea94f5a0_Extended_MSFT_Method">
    <vt:lpwstr>Manual</vt:lpwstr>
  </property>
  <property fmtid="{D5CDD505-2E9C-101B-9397-08002B2CF9AE}" pid="11" name="MSIP_Label_153db910-0838-4c35-bb3a-1ee21aa199ac_Enabled">
    <vt:lpwstr>True</vt:lpwstr>
  </property>
  <property fmtid="{D5CDD505-2E9C-101B-9397-08002B2CF9AE}" pid="12" name="MSIP_Label_153db910-0838-4c35-bb3a-1ee21aa199ac_SiteId">
    <vt:lpwstr>0b11c524-9a1c-4e1b-84cb-6336aefc2243</vt:lpwstr>
  </property>
  <property fmtid="{D5CDD505-2E9C-101B-9397-08002B2CF9AE}" pid="13" name="MSIP_Label_153db910-0838-4c35-bb3a-1ee21aa199ac_Owner">
    <vt:lpwstr>SIA_Su_Chun@acra.gov.sg</vt:lpwstr>
  </property>
  <property fmtid="{D5CDD505-2E9C-101B-9397-08002B2CF9AE}" pid="14" name="MSIP_Label_153db910-0838-4c35-bb3a-1ee21aa199ac_SetDate">
    <vt:lpwstr>2020-09-09T10:53:01.2147419Z</vt:lpwstr>
  </property>
  <property fmtid="{D5CDD505-2E9C-101B-9397-08002B2CF9AE}" pid="15" name="MSIP_Label_153db910-0838-4c35-bb3a-1ee21aa199ac_Name">
    <vt:lpwstr>SENSITIVE NORMAL</vt:lpwstr>
  </property>
  <property fmtid="{D5CDD505-2E9C-101B-9397-08002B2CF9AE}" pid="16" name="MSIP_Label_153db910-0838-4c35-bb3a-1ee21aa199ac_Application">
    <vt:lpwstr>Microsoft Azure Information Protection</vt:lpwstr>
  </property>
  <property fmtid="{D5CDD505-2E9C-101B-9397-08002B2CF9AE}" pid="17" name="MSIP_Label_153db910-0838-4c35-bb3a-1ee21aa199ac_ActionId">
    <vt:lpwstr>04fea441-d746-4233-8ebf-55e85dc2c156</vt:lpwstr>
  </property>
  <property fmtid="{D5CDD505-2E9C-101B-9397-08002B2CF9AE}" pid="18" name="MSIP_Label_153db910-0838-4c35-bb3a-1ee21aa199ac_Parent">
    <vt:lpwstr>cb51e0fc-1c37-41ff-9297-afacea94f5a0</vt:lpwstr>
  </property>
  <property fmtid="{D5CDD505-2E9C-101B-9397-08002B2CF9AE}" pid="19" name="MSIP_Label_153db910-0838-4c35-bb3a-1ee21aa199ac_Extended_MSFT_Method">
    <vt:lpwstr>Manual</vt:lpwstr>
  </property>
  <property fmtid="{D5CDD505-2E9C-101B-9397-08002B2CF9AE}" pid="20" name="Sensitivity">
    <vt:lpwstr>RESTRICTED SENSITIVE NORMAL</vt:lpwstr>
  </property>
</Properties>
</file>