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B4A9" w14:textId="77777777" w:rsidR="0071738C" w:rsidRPr="000D0B8F" w:rsidRDefault="001F2CDE" w:rsidP="007173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P</w:t>
      </w:r>
      <w:r w:rsidR="00004E60" w:rsidRPr="000D0B8F">
        <w:rPr>
          <w:rFonts w:ascii="Arial" w:hAnsi="Arial" w:cs="Arial"/>
          <w:b/>
          <w:i/>
        </w:rPr>
        <w:t>lease note</w:t>
      </w:r>
      <w:r w:rsidR="0071738C" w:rsidRPr="000D0B8F">
        <w:rPr>
          <w:rFonts w:ascii="Arial" w:hAnsi="Arial" w:cs="Arial"/>
          <w:b/>
          <w:i/>
        </w:rPr>
        <w:t>:</w:t>
      </w:r>
      <w:r w:rsidR="0071738C" w:rsidRPr="000D0B8F">
        <w:rPr>
          <w:rFonts w:ascii="Arial" w:hAnsi="Arial" w:cs="Arial"/>
          <w:i/>
        </w:rPr>
        <w:t xml:space="preserve"> </w:t>
      </w:r>
    </w:p>
    <w:p w14:paraId="1028B487" w14:textId="77777777" w:rsidR="00A06D08" w:rsidRPr="000756D4" w:rsidRDefault="00A06D08" w:rsidP="00A06D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i/>
        </w:rPr>
      </w:pPr>
      <w:r w:rsidRPr="00275419">
        <w:rPr>
          <w:rFonts w:ascii="Arial" w:hAnsi="Arial" w:cs="Arial"/>
          <w:i/>
        </w:rPr>
        <w:t xml:space="preserve">To uphold the </w:t>
      </w:r>
      <w:r w:rsidRPr="000756D4">
        <w:rPr>
          <w:rFonts w:ascii="Arial" w:hAnsi="Arial" w:cs="Arial"/>
          <w:i/>
        </w:rPr>
        <w:t>principles of transparency and equality of treatment for all Singapore-</w:t>
      </w:r>
      <w:r>
        <w:rPr>
          <w:rFonts w:ascii="Arial" w:hAnsi="Arial" w:cs="Arial"/>
          <w:i/>
        </w:rPr>
        <w:t xml:space="preserve">registered foreign </w:t>
      </w:r>
      <w:r w:rsidRPr="000756D4">
        <w:rPr>
          <w:rFonts w:ascii="Arial" w:hAnsi="Arial" w:cs="Arial"/>
          <w:i/>
        </w:rPr>
        <w:t xml:space="preserve">companies, the Registrar will grant exemption under section </w:t>
      </w:r>
      <w:r>
        <w:rPr>
          <w:rFonts w:ascii="Arial" w:hAnsi="Arial" w:cs="Arial"/>
          <w:i/>
        </w:rPr>
        <w:t>373(12) or 373(13)</w:t>
      </w:r>
      <w:r w:rsidRPr="000756D4">
        <w:rPr>
          <w:rFonts w:ascii="Arial" w:hAnsi="Arial" w:cs="Arial"/>
          <w:i/>
        </w:rPr>
        <w:t xml:space="preserve"> of the Companies Act </w:t>
      </w:r>
      <w:r w:rsidRPr="000756D4">
        <w:rPr>
          <w:rFonts w:ascii="Arial" w:hAnsi="Arial" w:cs="Arial"/>
          <w:b/>
          <w:i/>
        </w:rPr>
        <w:t>in limited circumstances</w:t>
      </w:r>
      <w:r w:rsidRPr="000756D4">
        <w:rPr>
          <w:rFonts w:ascii="Arial" w:hAnsi="Arial" w:cs="Arial"/>
          <w:i/>
        </w:rPr>
        <w:t xml:space="preserve">. </w:t>
      </w:r>
    </w:p>
    <w:p w14:paraId="04A25FB6" w14:textId="77777777" w:rsidR="00C11900" w:rsidRDefault="00535050" w:rsidP="00C119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i/>
        </w:rPr>
      </w:pPr>
      <w:r w:rsidRPr="00E4091C">
        <w:rPr>
          <w:rFonts w:ascii="Arial" w:hAnsi="Arial" w:cs="Arial"/>
          <w:i/>
        </w:rPr>
        <w:t>Please</w:t>
      </w:r>
      <w:r w:rsidR="00E11AD2" w:rsidRPr="00E4091C">
        <w:rPr>
          <w:rFonts w:ascii="Arial" w:hAnsi="Arial" w:cs="Arial"/>
          <w:i/>
        </w:rPr>
        <w:t xml:space="preserve"> </w:t>
      </w:r>
      <w:r w:rsidR="00E11AD2" w:rsidRPr="00E4091C">
        <w:rPr>
          <w:rFonts w:ascii="Arial" w:hAnsi="Arial" w:cs="Arial"/>
          <w:b/>
          <w:i/>
        </w:rPr>
        <w:t>complete</w:t>
      </w:r>
      <w:r w:rsidR="00E11AD2" w:rsidRPr="00E4091C">
        <w:rPr>
          <w:rFonts w:ascii="Arial" w:hAnsi="Arial" w:cs="Arial"/>
          <w:i/>
        </w:rPr>
        <w:t xml:space="preserve"> all information fields below before</w:t>
      </w:r>
      <w:r w:rsidR="00E11AD2" w:rsidRPr="000D0B8F">
        <w:rPr>
          <w:rFonts w:ascii="Arial" w:hAnsi="Arial" w:cs="Arial"/>
          <w:i/>
        </w:rPr>
        <w:t xml:space="preserve"> submitting the application. If the information provided is </w:t>
      </w:r>
      <w:r w:rsidR="00E11AD2" w:rsidRPr="000D0B8F">
        <w:rPr>
          <w:rFonts w:ascii="Arial" w:hAnsi="Arial" w:cs="Arial"/>
          <w:b/>
          <w:i/>
        </w:rPr>
        <w:t>incomplete</w:t>
      </w:r>
      <w:r w:rsidR="00E11AD2" w:rsidRPr="000D0B8F">
        <w:rPr>
          <w:rFonts w:ascii="Arial" w:hAnsi="Arial" w:cs="Arial"/>
          <w:i/>
        </w:rPr>
        <w:t xml:space="preserve"> and/or you do not provide further information and documents within one week upon ACRA’s request, ACRA will process the applications based solely on the information made available to ACRA. </w:t>
      </w:r>
      <w:r w:rsidR="00E11AD2" w:rsidRPr="000D0B8F">
        <w:rPr>
          <w:rFonts w:ascii="Arial" w:eastAsia="SimSun" w:hAnsi="Arial" w:cs="Arial"/>
          <w:i/>
          <w:color w:val="000000"/>
          <w:lang w:eastAsia="en-GB"/>
        </w:rPr>
        <w:t xml:space="preserve">Applications may be rejected if the available information is insufficient to support the applications. </w:t>
      </w:r>
      <w:r w:rsidR="00E11AD2" w:rsidRPr="000D0B8F">
        <w:rPr>
          <w:rFonts w:ascii="Arial" w:hAnsi="Arial" w:cs="Arial"/>
          <w:i/>
        </w:rPr>
        <w:t xml:space="preserve"> We regret to inform that fees will not be refunded for rejected applications. </w:t>
      </w:r>
    </w:p>
    <w:p w14:paraId="643E733A" w14:textId="77777777" w:rsidR="002B68BA" w:rsidRPr="002B68BA" w:rsidRDefault="004D5B34" w:rsidP="002B68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information provided herein, together with the electronic form filed, will be made available to the public for inspection</w:t>
      </w:r>
      <w:r w:rsidR="002B68BA">
        <w:rPr>
          <w:rFonts w:ascii="Arial" w:hAnsi="Arial" w:cs="Arial"/>
          <w:i/>
        </w:rPr>
        <w:t xml:space="preserve">. </w:t>
      </w:r>
    </w:p>
    <w:p w14:paraId="4AD7550E" w14:textId="77777777" w:rsidR="0071738C" w:rsidRPr="002D6CA9" w:rsidRDefault="0071738C" w:rsidP="007173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5686"/>
      </w:tblGrid>
      <w:tr w:rsidR="004F1F5C" w:rsidRPr="002D6CA9" w14:paraId="7DF005AA" w14:textId="77777777" w:rsidTr="008767E5">
        <w:tc>
          <w:tcPr>
            <w:tcW w:w="3369" w:type="dxa"/>
          </w:tcPr>
          <w:p w14:paraId="41E6E3E3" w14:textId="77777777" w:rsidR="004F1F5C" w:rsidRPr="002D6CA9" w:rsidRDefault="004F1F5C" w:rsidP="008767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B8F">
              <w:rPr>
                <w:rFonts w:ascii="Arial" w:hAnsi="Arial" w:cs="Arial"/>
                <w:b/>
                <w:color w:val="0070C0"/>
                <w:sz w:val="24"/>
                <w:szCs w:val="24"/>
              </w:rPr>
              <w:t>Background Information</w:t>
            </w:r>
            <w:r w:rsidR="000D0B8F" w:rsidRPr="000D0B8F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51C14139" w14:textId="77777777" w:rsidR="004F1F5C" w:rsidRPr="002D6CA9" w:rsidRDefault="004F1F5C" w:rsidP="00876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F5C" w:rsidRPr="002D6CA9" w14:paraId="58DEBE6E" w14:textId="77777777" w:rsidTr="008767E5">
        <w:tc>
          <w:tcPr>
            <w:tcW w:w="3369" w:type="dxa"/>
          </w:tcPr>
          <w:p w14:paraId="7C16426A" w14:textId="77777777" w:rsidR="004F1F5C" w:rsidRPr="002D6CA9" w:rsidRDefault="005D38BD" w:rsidP="000D0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Foreign </w:t>
            </w:r>
            <w:r w:rsidR="000D0B8F">
              <w:rPr>
                <w:rFonts w:ascii="Arial" w:hAnsi="Arial" w:cs="Arial"/>
                <w:sz w:val="24"/>
                <w:szCs w:val="24"/>
              </w:rPr>
              <w:t>C</w:t>
            </w:r>
            <w:r w:rsidR="004F1F5C" w:rsidRPr="002D6CA9">
              <w:rPr>
                <w:rFonts w:ascii="Arial" w:hAnsi="Arial" w:cs="Arial"/>
                <w:sz w:val="24"/>
                <w:szCs w:val="24"/>
              </w:rPr>
              <w:t>ompany name:</w:t>
            </w:r>
          </w:p>
        </w:tc>
        <w:tc>
          <w:tcPr>
            <w:tcW w:w="5811" w:type="dxa"/>
          </w:tcPr>
          <w:p w14:paraId="7CFEDFDB" w14:textId="77777777" w:rsidR="004F1F5C" w:rsidRPr="002D6CA9" w:rsidRDefault="004F1F5C" w:rsidP="00876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F5C" w:rsidRPr="002D6CA9" w14:paraId="40E9C8E0" w14:textId="77777777" w:rsidTr="008767E5">
        <w:tc>
          <w:tcPr>
            <w:tcW w:w="3369" w:type="dxa"/>
          </w:tcPr>
          <w:p w14:paraId="743C751F" w14:textId="77777777" w:rsidR="004F1F5C" w:rsidRPr="002D6CA9" w:rsidRDefault="00642EDD" w:rsidP="00876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Unique entity number</w:t>
            </w:r>
          </w:p>
        </w:tc>
        <w:tc>
          <w:tcPr>
            <w:tcW w:w="5811" w:type="dxa"/>
          </w:tcPr>
          <w:p w14:paraId="4E662D6F" w14:textId="77777777" w:rsidR="004F1F5C" w:rsidRPr="002D6CA9" w:rsidRDefault="004F1F5C" w:rsidP="00876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F5C" w:rsidRPr="002D6CA9" w14:paraId="5601D42A" w14:textId="77777777" w:rsidTr="008767E5">
        <w:tc>
          <w:tcPr>
            <w:tcW w:w="3369" w:type="dxa"/>
          </w:tcPr>
          <w:p w14:paraId="63CC1323" w14:textId="77777777" w:rsidR="004F1F5C" w:rsidRPr="002D6CA9" w:rsidRDefault="004F1F5C" w:rsidP="008767E5">
            <w:pPr>
              <w:rPr>
                <w:rFonts w:ascii="Arial" w:hAnsi="Arial" w:cs="Arial"/>
                <w:sz w:val="24"/>
                <w:szCs w:val="24"/>
              </w:rPr>
            </w:pPr>
            <w:r w:rsidRPr="002D6CA9">
              <w:rPr>
                <w:rFonts w:ascii="Arial" w:hAnsi="Arial" w:cs="Arial"/>
                <w:sz w:val="24"/>
                <w:szCs w:val="24"/>
              </w:rPr>
              <w:t>Financial year end:</w:t>
            </w:r>
          </w:p>
        </w:tc>
        <w:tc>
          <w:tcPr>
            <w:tcW w:w="5811" w:type="dxa"/>
          </w:tcPr>
          <w:p w14:paraId="270716C9" w14:textId="77777777" w:rsidR="004F1F5C" w:rsidRPr="002D6CA9" w:rsidRDefault="004F1F5C" w:rsidP="00876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354379" w14:textId="77777777" w:rsidR="001F2CDE" w:rsidRDefault="001F2CDE" w:rsidP="00740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A483B" w14:textId="77777777" w:rsidR="001F2CDE" w:rsidRDefault="001F2C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61E004" w14:textId="77777777" w:rsidR="001F2CDE" w:rsidRDefault="001F2CDE" w:rsidP="00740541">
      <w:pPr>
        <w:spacing w:after="0" w:line="240" w:lineRule="auto"/>
        <w:rPr>
          <w:rFonts w:ascii="Arial" w:hAnsi="Arial" w:cs="Arial"/>
          <w:sz w:val="24"/>
          <w:szCs w:val="24"/>
        </w:rPr>
        <w:sectPr w:rsidR="001F2C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7"/>
        <w:gridCol w:w="1540"/>
        <w:gridCol w:w="1828"/>
        <w:gridCol w:w="2137"/>
        <w:gridCol w:w="3976"/>
      </w:tblGrid>
      <w:tr w:rsidR="001F2CDE" w:rsidRPr="00E4091C" w14:paraId="5BAEDEB7" w14:textId="77777777" w:rsidTr="00B15366">
        <w:tc>
          <w:tcPr>
            <w:tcW w:w="4467" w:type="dxa"/>
          </w:tcPr>
          <w:p w14:paraId="0EDBD877" w14:textId="77777777" w:rsidR="001F2CDE" w:rsidRPr="001831BA" w:rsidRDefault="001F2CDE" w:rsidP="001831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31BA">
              <w:rPr>
                <w:rFonts w:ascii="Arial" w:hAnsi="Arial" w:cs="Arial"/>
                <w:b/>
                <w:sz w:val="24"/>
                <w:szCs w:val="24"/>
              </w:rPr>
              <w:lastRenderedPageBreak/>
              <w:t>Type of exemption that the foreign company is applying for:</w:t>
            </w:r>
          </w:p>
        </w:tc>
        <w:tc>
          <w:tcPr>
            <w:tcW w:w="1540" w:type="dxa"/>
          </w:tcPr>
          <w:p w14:paraId="230C0CFF" w14:textId="77777777" w:rsidR="001F2CDE" w:rsidRPr="001831BA" w:rsidRDefault="001F2CDE" w:rsidP="00AF6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31BA">
              <w:rPr>
                <w:rFonts w:ascii="Arial" w:hAnsi="Arial" w:cs="Arial"/>
                <w:b/>
                <w:sz w:val="24"/>
                <w:szCs w:val="24"/>
              </w:rPr>
              <w:t>Please tick the appropriate option</w:t>
            </w:r>
          </w:p>
        </w:tc>
        <w:tc>
          <w:tcPr>
            <w:tcW w:w="1828" w:type="dxa"/>
          </w:tcPr>
          <w:p w14:paraId="205B5C38" w14:textId="77777777" w:rsidR="001F2CDE" w:rsidRDefault="001F2CDE" w:rsidP="00AF6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Statement of declaration</w:t>
            </w:r>
          </w:p>
          <w:p w14:paraId="6BED920E" w14:textId="77777777" w:rsidR="001F2CDE" w:rsidRPr="001831BA" w:rsidRDefault="001F2CDE" w:rsidP="00AF6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0B8F">
              <w:rPr>
                <w:rFonts w:ascii="Arial" w:hAnsi="Arial" w:cs="Arial"/>
                <w:i/>
              </w:rPr>
              <w:t>[</w:t>
            </w:r>
            <w:r w:rsidRPr="00C82F5E">
              <w:rPr>
                <w:rFonts w:ascii="Arial" w:hAnsi="Arial" w:cs="Arial"/>
                <w:i/>
                <w:sz w:val="24"/>
                <w:szCs w:val="24"/>
              </w:rPr>
              <w:t>Please use the format of the declaration attached</w:t>
            </w:r>
            <w:r>
              <w:rPr>
                <w:rFonts w:ascii="Arial" w:hAnsi="Arial" w:cs="Arial"/>
                <w:i/>
                <w:sz w:val="24"/>
                <w:szCs w:val="24"/>
              </w:rPr>
              <w:t>]</w:t>
            </w:r>
          </w:p>
        </w:tc>
        <w:tc>
          <w:tcPr>
            <w:tcW w:w="2137" w:type="dxa"/>
          </w:tcPr>
          <w:p w14:paraId="14090864" w14:textId="77777777" w:rsidR="001F2CDE" w:rsidRPr="001831BA" w:rsidRDefault="001F2CDE" w:rsidP="00AF67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Directors’ / Authorised Representative’s statement </w:t>
            </w:r>
            <w:r w:rsidRPr="00950B8F">
              <w:rPr>
                <w:rFonts w:ascii="Arial" w:hAnsi="Arial" w:cs="Arial"/>
                <w:i/>
              </w:rPr>
              <w:t>[</w:t>
            </w:r>
            <w:r w:rsidRPr="00C82F5E">
              <w:rPr>
                <w:rFonts w:ascii="Arial" w:hAnsi="Arial" w:cs="Arial"/>
                <w:i/>
                <w:sz w:val="24"/>
                <w:szCs w:val="24"/>
              </w:rPr>
              <w:t xml:space="preserve">Please use the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statement </w:t>
            </w:r>
            <w:r w:rsidRPr="00C82F5E">
              <w:rPr>
                <w:rFonts w:ascii="Arial" w:hAnsi="Arial" w:cs="Arial"/>
                <w:i/>
                <w:sz w:val="24"/>
                <w:szCs w:val="24"/>
              </w:rPr>
              <w:t>format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C82F5E">
              <w:rPr>
                <w:rFonts w:ascii="Arial" w:hAnsi="Arial" w:cs="Arial"/>
                <w:i/>
                <w:sz w:val="24"/>
                <w:szCs w:val="24"/>
              </w:rPr>
              <w:t>attached</w:t>
            </w:r>
            <w:r>
              <w:rPr>
                <w:rFonts w:ascii="Arial" w:hAnsi="Arial" w:cs="Arial"/>
                <w:i/>
                <w:sz w:val="24"/>
                <w:szCs w:val="24"/>
              </w:rPr>
              <w:t>]</w:t>
            </w:r>
          </w:p>
        </w:tc>
        <w:tc>
          <w:tcPr>
            <w:tcW w:w="3976" w:type="dxa"/>
          </w:tcPr>
          <w:p w14:paraId="3993ADFC" w14:textId="77777777" w:rsidR="001F2CDE" w:rsidRDefault="001F2CDE" w:rsidP="001F2C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required documents</w:t>
            </w:r>
            <w:r w:rsidRPr="00501B36">
              <w:rPr>
                <w:rFonts w:ascii="Arial" w:hAnsi="Arial" w:cs="Arial"/>
                <w:bCs/>
                <w:sz w:val="24"/>
                <w:szCs w:val="24"/>
              </w:rPr>
              <w:t>, i.e.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186653A" w14:textId="77777777" w:rsidR="001F2CDE" w:rsidRPr="00501B36" w:rsidRDefault="001F2CDE" w:rsidP="001F2CD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1B36">
              <w:rPr>
                <w:rFonts w:ascii="Arial" w:hAnsi="Arial" w:cs="Arial"/>
                <w:bCs/>
                <w:sz w:val="24"/>
                <w:szCs w:val="24"/>
              </w:rPr>
              <w:t>Balance sheet and income statement;</w:t>
            </w:r>
          </w:p>
          <w:p w14:paraId="4BE64340" w14:textId="77777777" w:rsidR="001F2CDE" w:rsidRPr="00501B36" w:rsidRDefault="001F2CDE" w:rsidP="00501B3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1B36">
              <w:rPr>
                <w:rFonts w:ascii="Arial" w:hAnsi="Arial" w:cs="Arial"/>
                <w:bCs/>
                <w:sz w:val="24"/>
                <w:szCs w:val="24"/>
              </w:rPr>
              <w:t xml:space="preserve">Significant accounting policies (including basis of measurement) </w:t>
            </w:r>
          </w:p>
        </w:tc>
      </w:tr>
      <w:tr w:rsidR="00EC4A40" w:rsidRPr="00E4091C" w14:paraId="4FCBE77B" w14:textId="77777777" w:rsidTr="00B15366">
        <w:trPr>
          <w:trHeight w:val="1649"/>
        </w:trPr>
        <w:tc>
          <w:tcPr>
            <w:tcW w:w="4467" w:type="dxa"/>
          </w:tcPr>
          <w:p w14:paraId="5EA304F8" w14:textId="77777777" w:rsidR="00EC4A40" w:rsidRDefault="00EC4A40" w:rsidP="00AF6750">
            <w:pPr>
              <w:pStyle w:val="ListParagraph"/>
              <w:numPr>
                <w:ilvl w:val="0"/>
                <w:numId w:val="7"/>
              </w:numPr>
              <w:ind w:left="48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91C">
              <w:rPr>
                <w:rFonts w:ascii="Arial" w:hAnsi="Arial" w:cs="Arial"/>
                <w:sz w:val="24"/>
                <w:szCs w:val="24"/>
              </w:rPr>
              <w:t>Waiver from filing the financial statements of the Singapore Branch</w:t>
            </w:r>
            <w:r w:rsidRPr="00E4091C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</w:p>
          <w:p w14:paraId="2F028CEA" w14:textId="77777777" w:rsidR="00EC4A40" w:rsidRPr="00501B36" w:rsidRDefault="00EC4A40">
            <w:pPr>
              <w:ind w:left="64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1B36">
              <w:rPr>
                <w:rFonts w:ascii="Arial" w:hAnsi="Arial" w:cs="Arial"/>
                <w:i/>
                <w:iCs/>
                <w:sz w:val="24"/>
                <w:szCs w:val="24"/>
              </w:rPr>
              <w:t>[The branch is strongly urged to apply for relief under (c) instead of waiver]</w:t>
            </w:r>
          </w:p>
        </w:tc>
        <w:tc>
          <w:tcPr>
            <w:tcW w:w="1540" w:type="dxa"/>
          </w:tcPr>
          <w:p w14:paraId="0FE4B94A" w14:textId="77777777" w:rsidR="00EC4A40" w:rsidRPr="00E4091C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</w:tcPr>
          <w:p w14:paraId="54A4FBE9" w14:textId="77777777" w:rsidR="00EC4A40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61040B" w14:textId="06475963" w:rsidR="00EC4A40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bookmarkStart w:id="0" w:name="_MON_1714995623"/>
          <w:bookmarkEnd w:id="0"/>
          <w:p w14:paraId="1CE4F124" w14:textId="787BEE34" w:rsidR="00EC4A40" w:rsidRPr="00E4091C" w:rsidRDefault="002220C4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376" w:dyaOrig="899" w14:anchorId="50DDB1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pt;height:45pt" o:ole="">
                  <v:imagedata r:id="rId17" o:title=""/>
                </v:shape>
                <o:OLEObject Type="Embed" ProgID="Word.Document.12" ShapeID="_x0000_i1029" DrawAspect="Icon" ObjectID="_1716202212" r:id="rId18">
                  <o:FieldCodes>\s</o:FieldCodes>
                </o:OLEObject>
              </w:object>
            </w:r>
          </w:p>
        </w:tc>
        <w:tc>
          <w:tcPr>
            <w:tcW w:w="2137" w:type="dxa"/>
          </w:tcPr>
          <w:p w14:paraId="1603AF13" w14:textId="77777777" w:rsidR="00EC4A40" w:rsidRPr="00E4091C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76" w:type="dxa"/>
          </w:tcPr>
          <w:p w14:paraId="266019D6" w14:textId="77777777" w:rsidR="00EC4A40" w:rsidRPr="00E4091C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A40" w:rsidRPr="00E4091C" w14:paraId="47D70262" w14:textId="77777777" w:rsidTr="00B15366">
        <w:trPr>
          <w:trHeight w:val="1544"/>
        </w:trPr>
        <w:tc>
          <w:tcPr>
            <w:tcW w:w="4467" w:type="dxa"/>
          </w:tcPr>
          <w:p w14:paraId="5C7C3120" w14:textId="77777777" w:rsidR="00EC4A40" w:rsidRPr="00E4091C" w:rsidRDefault="00EC4A40" w:rsidP="00AF6750">
            <w:pPr>
              <w:pStyle w:val="ListParagraph"/>
              <w:numPr>
                <w:ilvl w:val="0"/>
                <w:numId w:val="7"/>
              </w:numPr>
              <w:ind w:left="487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91C">
              <w:rPr>
                <w:rFonts w:ascii="Arial" w:hAnsi="Arial" w:cs="Arial"/>
                <w:sz w:val="24"/>
                <w:szCs w:val="24"/>
              </w:rPr>
              <w:t xml:space="preserve">Relief from requirements as to audit or form and content of the financial statements and other </w:t>
            </w:r>
            <w:proofErr w:type="gramStart"/>
            <w:r w:rsidRPr="00E4091C">
              <w:rPr>
                <w:rFonts w:ascii="Arial" w:hAnsi="Arial" w:cs="Arial"/>
                <w:sz w:val="24"/>
                <w:szCs w:val="24"/>
              </w:rPr>
              <w:t>documents  of</w:t>
            </w:r>
            <w:proofErr w:type="gramEnd"/>
            <w:r w:rsidRPr="00E4091C">
              <w:rPr>
                <w:rFonts w:ascii="Arial" w:hAnsi="Arial" w:cs="Arial"/>
                <w:sz w:val="24"/>
                <w:szCs w:val="24"/>
              </w:rPr>
              <w:t xml:space="preserve"> the foreign company</w:t>
            </w:r>
            <w:r w:rsidRPr="00E4091C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1540" w:type="dxa"/>
          </w:tcPr>
          <w:p w14:paraId="2375717E" w14:textId="77777777" w:rsidR="00EC4A40" w:rsidRPr="00E4091C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B8FB295" w14:textId="77777777" w:rsidR="00EC4A40" w:rsidRPr="00E4091C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2C2E6BC" w14:textId="77777777" w:rsidR="00EC4A40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bookmarkStart w:id="1" w:name="_MON_1663483761"/>
          <w:bookmarkEnd w:id="1"/>
          <w:p w14:paraId="0A1A5D4B" w14:textId="77777777" w:rsidR="00EC4A40" w:rsidRPr="00E4091C" w:rsidRDefault="00EC4A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20" w:dyaOrig="988" w14:anchorId="04B95291">
                <v:shape id="_x0000_i1026" type="#_x0000_t75" style="width:75.75pt;height:48.75pt" o:ole="">
                  <v:imagedata r:id="rId19" o:title=""/>
                </v:shape>
                <o:OLEObject Type="Embed" ProgID="Word.Document.12" ShapeID="_x0000_i1026" DrawAspect="Icon" ObjectID="_1716202213" r:id="rId20">
                  <o:FieldCodes>\s</o:FieldCodes>
                </o:OLEObject>
              </w:object>
            </w:r>
          </w:p>
        </w:tc>
        <w:tc>
          <w:tcPr>
            <w:tcW w:w="3976" w:type="dxa"/>
          </w:tcPr>
          <w:p w14:paraId="3079B30F" w14:textId="50948FE7" w:rsidR="00EC4A40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A40" w:rsidRPr="00E4091C" w14:paraId="256374DE" w14:textId="77777777" w:rsidTr="00B15366">
        <w:trPr>
          <w:trHeight w:val="1544"/>
        </w:trPr>
        <w:tc>
          <w:tcPr>
            <w:tcW w:w="4467" w:type="dxa"/>
          </w:tcPr>
          <w:p w14:paraId="5D6498B6" w14:textId="717C9B53" w:rsidR="00EC4A40" w:rsidRPr="00EC4A40" w:rsidRDefault="00EC4A40" w:rsidP="00AF6750">
            <w:pPr>
              <w:pStyle w:val="ListParagraph"/>
              <w:numPr>
                <w:ilvl w:val="0"/>
                <w:numId w:val="7"/>
              </w:numPr>
              <w:ind w:left="487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4A40">
              <w:rPr>
                <w:rFonts w:ascii="Arial" w:hAnsi="Arial" w:cs="Arial"/>
                <w:sz w:val="24"/>
                <w:szCs w:val="24"/>
              </w:rPr>
              <w:t>Relief from requirements as to audit or form and content of the financial statements and other documents of the Singapore Branch</w:t>
            </w:r>
          </w:p>
        </w:tc>
        <w:tc>
          <w:tcPr>
            <w:tcW w:w="1540" w:type="dxa"/>
          </w:tcPr>
          <w:p w14:paraId="7743612B" w14:textId="77777777" w:rsidR="00EC4A40" w:rsidRPr="00E4091C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EF3B3C4" w14:textId="77777777" w:rsidR="00EC4A40" w:rsidRPr="00E4091C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14:paraId="16445DDE" w14:textId="545FC3ED" w:rsidR="00EC4A40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76" w:type="dxa"/>
          </w:tcPr>
          <w:p w14:paraId="57D1C445" w14:textId="77777777" w:rsidR="00EC4A40" w:rsidRDefault="00EC4A40" w:rsidP="00AF67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7879E4" w14:textId="77777777" w:rsidR="004F1F5C" w:rsidRPr="002D6CA9" w:rsidRDefault="004F1F5C" w:rsidP="001831B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F1F5C" w:rsidRPr="002D6CA9" w:rsidSect="00501B3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2FE3" w14:textId="77777777" w:rsidR="005B7D6E" w:rsidRDefault="005B7D6E" w:rsidP="0071738C">
      <w:pPr>
        <w:spacing w:after="0" w:line="240" w:lineRule="auto"/>
      </w:pPr>
      <w:r>
        <w:separator/>
      </w:r>
    </w:p>
  </w:endnote>
  <w:endnote w:type="continuationSeparator" w:id="0">
    <w:p w14:paraId="44429CFA" w14:textId="77777777" w:rsidR="005B7D6E" w:rsidRDefault="005B7D6E" w:rsidP="0071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A66" w14:textId="77777777" w:rsidR="001F2CDE" w:rsidRDefault="001F2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B64E" w14:textId="77777777" w:rsidR="001F2CDE" w:rsidRDefault="001F2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96CA" w14:textId="77777777" w:rsidR="001F2CDE" w:rsidRDefault="001F2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49E6" w14:textId="77777777" w:rsidR="005B7D6E" w:rsidRDefault="005B7D6E" w:rsidP="0071738C">
      <w:pPr>
        <w:spacing w:after="0" w:line="240" w:lineRule="auto"/>
      </w:pPr>
      <w:r>
        <w:separator/>
      </w:r>
    </w:p>
  </w:footnote>
  <w:footnote w:type="continuationSeparator" w:id="0">
    <w:p w14:paraId="60A9C91F" w14:textId="77777777" w:rsidR="005B7D6E" w:rsidRDefault="005B7D6E" w:rsidP="0071738C">
      <w:pPr>
        <w:spacing w:after="0" w:line="240" w:lineRule="auto"/>
      </w:pPr>
      <w:r>
        <w:continuationSeparator/>
      </w:r>
    </w:p>
  </w:footnote>
  <w:footnote w:id="1">
    <w:p w14:paraId="5894E0B6" w14:textId="77777777" w:rsidR="00EC4A40" w:rsidRPr="00E4091C" w:rsidRDefault="00EC4A40" w:rsidP="00A963ED">
      <w:pPr>
        <w:pStyle w:val="FootnoteText"/>
        <w:ind w:left="567" w:hanging="567"/>
        <w:jc w:val="both"/>
        <w:rPr>
          <w:rFonts w:ascii="Arial" w:hAnsi="Arial" w:cs="Arial"/>
          <w:lang w:val="en-US"/>
        </w:rPr>
      </w:pPr>
      <w:r w:rsidRPr="00E4091C">
        <w:rPr>
          <w:rStyle w:val="FootnoteReference"/>
          <w:rFonts w:ascii="Arial" w:hAnsi="Arial" w:cs="Arial"/>
        </w:rPr>
        <w:footnoteRef/>
      </w:r>
      <w:r w:rsidRPr="00E4091C">
        <w:rPr>
          <w:rFonts w:ascii="Arial" w:hAnsi="Arial" w:cs="Arial"/>
        </w:rPr>
        <w:t xml:space="preserve"> </w:t>
      </w:r>
      <w:r w:rsidRPr="00E4091C">
        <w:rPr>
          <w:rFonts w:ascii="Arial" w:hAnsi="Arial" w:cs="Arial"/>
        </w:rPr>
        <w:tab/>
        <w:t xml:space="preserve">Singapore Branches of foreign companies who </w:t>
      </w:r>
      <w:r w:rsidRPr="00E4091C">
        <w:rPr>
          <w:rFonts w:ascii="Arial" w:hAnsi="Arial" w:cs="Arial"/>
          <w:lang w:val="en-US"/>
        </w:rPr>
        <w:t xml:space="preserve">are dormant can proceed to lodge with ACRA, their unaudited </w:t>
      </w:r>
      <w:r w:rsidRPr="00E4091C">
        <w:rPr>
          <w:rFonts w:ascii="Arial" w:hAnsi="Arial" w:cs="Arial"/>
        </w:rPr>
        <w:t>profit and loss accounts with respect to their operations in Singapore and unaudited statements showing their assets used in and liabilities arising out of their operations in Singapore</w:t>
      </w:r>
      <w:r w:rsidRPr="00E4091C">
        <w:rPr>
          <w:rFonts w:ascii="Arial" w:hAnsi="Arial" w:cs="Arial"/>
          <w:lang w:val="en-US"/>
        </w:rPr>
        <w:t xml:space="preserve">, without seeking waiver under section 373(12) of the Companies Act. </w:t>
      </w:r>
    </w:p>
    <w:p w14:paraId="627D8A4B" w14:textId="77777777" w:rsidR="00EC4A40" w:rsidRPr="00E4091C" w:rsidRDefault="00EC4A40" w:rsidP="00A963ED">
      <w:pPr>
        <w:pStyle w:val="FootnoteText"/>
        <w:ind w:left="567" w:hanging="567"/>
        <w:rPr>
          <w:rFonts w:ascii="Arial" w:hAnsi="Arial" w:cs="Arial"/>
          <w:lang w:val="en-US"/>
        </w:rPr>
      </w:pPr>
    </w:p>
  </w:footnote>
  <w:footnote w:id="2">
    <w:p w14:paraId="052F59D5" w14:textId="77777777" w:rsidR="00EC4A40" w:rsidRPr="00E4091C" w:rsidRDefault="00EC4A40" w:rsidP="00A963ED">
      <w:pPr>
        <w:pStyle w:val="FootnoteText"/>
        <w:ind w:left="567" w:hanging="567"/>
        <w:jc w:val="both"/>
        <w:rPr>
          <w:rFonts w:ascii="Arial" w:hAnsi="Arial" w:cs="Arial"/>
          <w:lang w:val="en-US"/>
        </w:rPr>
      </w:pPr>
      <w:r w:rsidRPr="00E4091C">
        <w:rPr>
          <w:rStyle w:val="FootnoteReference"/>
          <w:rFonts w:ascii="Arial" w:hAnsi="Arial" w:cs="Arial"/>
        </w:rPr>
        <w:footnoteRef/>
      </w:r>
      <w:r w:rsidRPr="00E4091C">
        <w:rPr>
          <w:rFonts w:ascii="Arial" w:hAnsi="Arial" w:cs="Arial"/>
        </w:rPr>
        <w:t xml:space="preserve"> </w:t>
      </w:r>
      <w:r w:rsidRPr="00E4091C">
        <w:rPr>
          <w:rFonts w:ascii="Arial" w:hAnsi="Arial" w:cs="Arial"/>
        </w:rPr>
        <w:tab/>
        <w:t>Foreign companies who prepare the following types of financial statements can directly lodge them with ACRA</w:t>
      </w:r>
      <w:r w:rsidRPr="00E4091C">
        <w:rPr>
          <w:rFonts w:ascii="Arial" w:hAnsi="Arial" w:cs="Arial"/>
          <w:lang w:val="en-US"/>
        </w:rPr>
        <w:t>:</w:t>
      </w:r>
    </w:p>
    <w:p w14:paraId="0495FA27" w14:textId="77777777" w:rsidR="00EC4A40" w:rsidRPr="00E4091C" w:rsidRDefault="00EC4A40" w:rsidP="00A963ED">
      <w:pPr>
        <w:pStyle w:val="FootnoteText"/>
        <w:numPr>
          <w:ilvl w:val="0"/>
          <w:numId w:val="11"/>
        </w:numPr>
        <w:ind w:left="1134" w:hanging="567"/>
        <w:jc w:val="both"/>
        <w:rPr>
          <w:rFonts w:ascii="Arial" w:hAnsi="Arial" w:cs="Arial"/>
          <w:lang w:val="en-US"/>
        </w:rPr>
      </w:pPr>
      <w:r w:rsidRPr="00E4091C">
        <w:rPr>
          <w:rFonts w:ascii="Arial" w:hAnsi="Arial" w:cs="Arial"/>
        </w:rPr>
        <w:t xml:space="preserve">financial statements prepared in accordance with the </w:t>
      </w:r>
      <w:r w:rsidRPr="00E4091C">
        <w:rPr>
          <w:rFonts w:ascii="Arial" w:hAnsi="Arial" w:cs="Arial"/>
          <w:lang w:val="en-US"/>
        </w:rPr>
        <w:t>International Financial Reporting Standards (“IFRS”);</w:t>
      </w:r>
      <w:r>
        <w:rPr>
          <w:rFonts w:ascii="Arial" w:hAnsi="Arial" w:cs="Arial"/>
          <w:lang w:val="en-US"/>
        </w:rPr>
        <w:t xml:space="preserve"> and</w:t>
      </w:r>
    </w:p>
    <w:p w14:paraId="08AA5F5F" w14:textId="77777777" w:rsidR="00EC4A40" w:rsidRPr="00740541" w:rsidRDefault="00EC4A40" w:rsidP="00A963ED">
      <w:pPr>
        <w:pStyle w:val="FootnoteText"/>
        <w:numPr>
          <w:ilvl w:val="0"/>
          <w:numId w:val="11"/>
        </w:numPr>
        <w:ind w:left="1134" w:hanging="567"/>
        <w:jc w:val="both"/>
        <w:rPr>
          <w:rFonts w:ascii="Arial" w:hAnsi="Arial" w:cs="Arial"/>
          <w:lang w:val="en-US"/>
        </w:rPr>
      </w:pPr>
      <w:r w:rsidRPr="00740541">
        <w:rPr>
          <w:rFonts w:ascii="Arial" w:hAnsi="Arial" w:cs="Arial"/>
          <w:lang w:val="en-US"/>
        </w:rPr>
        <w:t>financial statements prepared in accordance</w:t>
      </w:r>
      <w:r>
        <w:rPr>
          <w:rFonts w:ascii="Arial" w:hAnsi="Arial" w:cs="Arial"/>
          <w:lang w:val="en-US"/>
        </w:rPr>
        <w:t xml:space="preserve"> with accounting standards in the law of country of incorporation / formation.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DD91" w14:textId="77777777" w:rsidR="001F2CDE" w:rsidRDefault="001F2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94CD" w14:textId="77777777" w:rsidR="005B4D85" w:rsidRDefault="005B4D85" w:rsidP="005B4D85">
    <w:pPr>
      <w:spacing w:after="0" w:line="240" w:lineRule="auto"/>
      <w:rPr>
        <w:rFonts w:ascii="Arial" w:hAnsi="Arial" w:cs="Arial"/>
        <w:b/>
        <w:sz w:val="24"/>
        <w:szCs w:val="24"/>
      </w:rPr>
    </w:pPr>
    <w:r w:rsidRPr="002D6CA9">
      <w:rPr>
        <w:rFonts w:ascii="Arial" w:hAnsi="Arial" w:cs="Arial"/>
        <w:b/>
        <w:sz w:val="24"/>
        <w:szCs w:val="24"/>
      </w:rPr>
      <w:t xml:space="preserve">Application </w:t>
    </w:r>
    <w:r>
      <w:rPr>
        <w:rFonts w:ascii="Arial" w:hAnsi="Arial" w:cs="Arial"/>
        <w:b/>
        <w:sz w:val="24"/>
        <w:szCs w:val="24"/>
      </w:rPr>
      <w:t>under Section 373 of the Companies Act</w:t>
    </w:r>
  </w:p>
  <w:p w14:paraId="07856FF1" w14:textId="77777777" w:rsidR="005B4D85" w:rsidRDefault="005B4D85" w:rsidP="00501B36">
    <w:pPr>
      <w:spacing w:after="0" w:line="240" w:lineRule="auto"/>
    </w:pPr>
    <w:r>
      <w:rPr>
        <w:rFonts w:ascii="Arial" w:hAnsi="Arial" w:cs="Arial"/>
        <w:b/>
        <w:sz w:val="24"/>
        <w:szCs w:val="24"/>
      </w:rPr>
      <w:t xml:space="preserve">- </w:t>
    </w:r>
    <w:r w:rsidR="004D5B34">
      <w:rPr>
        <w:rFonts w:ascii="Arial" w:hAnsi="Arial" w:cs="Arial"/>
        <w:b/>
        <w:sz w:val="24"/>
        <w:szCs w:val="24"/>
      </w:rPr>
      <w:t xml:space="preserve">Exemption/Waiver of </w:t>
    </w:r>
    <w:r>
      <w:rPr>
        <w:rFonts w:ascii="Arial" w:hAnsi="Arial" w:cs="Arial"/>
        <w:b/>
        <w:sz w:val="24"/>
        <w:szCs w:val="24"/>
      </w:rPr>
      <w:t xml:space="preserve">Financial Reporting </w:t>
    </w:r>
    <w:r w:rsidR="004D5B34">
      <w:rPr>
        <w:rFonts w:ascii="Arial" w:hAnsi="Arial" w:cs="Arial"/>
        <w:b/>
        <w:sz w:val="24"/>
        <w:szCs w:val="24"/>
      </w:rPr>
      <w:t>for</w:t>
    </w:r>
    <w:r w:rsidR="000F49B9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Foreign Compan</w:t>
    </w:r>
    <w:r w:rsidR="004D5B34">
      <w:rPr>
        <w:rFonts w:ascii="Arial" w:hAnsi="Arial" w:cs="Arial"/>
        <w:b/>
        <w:sz w:val="24"/>
        <w:szCs w:val="24"/>
      </w:rPr>
      <w:t>y</w:t>
    </w:r>
    <w:r>
      <w:rPr>
        <w:rFonts w:ascii="Arial" w:hAnsi="Arial" w:cs="Arial"/>
        <w:b/>
        <w:sz w:val="24"/>
        <w:szCs w:val="24"/>
      </w:rPr>
      <w:t xml:space="preserve"> </w:t>
    </w:r>
  </w:p>
  <w:p w14:paraId="25242095" w14:textId="77777777" w:rsidR="005B4D85" w:rsidRDefault="005B4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061A" w14:textId="77777777" w:rsidR="001F2CDE" w:rsidRDefault="001F2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EFE"/>
    <w:multiLevelType w:val="hybridMultilevel"/>
    <w:tmpl w:val="AEBAA74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30AFB"/>
    <w:multiLevelType w:val="hybridMultilevel"/>
    <w:tmpl w:val="5D227F7E"/>
    <w:lvl w:ilvl="0" w:tplc="7556E1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71D"/>
    <w:multiLevelType w:val="hybridMultilevel"/>
    <w:tmpl w:val="97DE8D28"/>
    <w:lvl w:ilvl="0" w:tplc="8EE08A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4395"/>
    <w:multiLevelType w:val="hybridMultilevel"/>
    <w:tmpl w:val="0220CD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443E"/>
    <w:multiLevelType w:val="hybridMultilevel"/>
    <w:tmpl w:val="79EA98AC"/>
    <w:lvl w:ilvl="0" w:tplc="AA062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45C88"/>
    <w:multiLevelType w:val="hybridMultilevel"/>
    <w:tmpl w:val="6D1C44A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0CC1"/>
    <w:multiLevelType w:val="hybridMultilevel"/>
    <w:tmpl w:val="554EE86A"/>
    <w:lvl w:ilvl="0" w:tplc="84B205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39" w:hanging="360"/>
      </w:pPr>
    </w:lvl>
    <w:lvl w:ilvl="2" w:tplc="4809001B" w:tentative="1">
      <w:start w:val="1"/>
      <w:numFmt w:val="lowerRoman"/>
      <w:lvlText w:val="%3."/>
      <w:lvlJc w:val="right"/>
      <w:pPr>
        <w:ind w:left="2259" w:hanging="180"/>
      </w:pPr>
    </w:lvl>
    <w:lvl w:ilvl="3" w:tplc="4809000F" w:tentative="1">
      <w:start w:val="1"/>
      <w:numFmt w:val="decimal"/>
      <w:lvlText w:val="%4."/>
      <w:lvlJc w:val="left"/>
      <w:pPr>
        <w:ind w:left="2979" w:hanging="360"/>
      </w:pPr>
    </w:lvl>
    <w:lvl w:ilvl="4" w:tplc="48090019" w:tentative="1">
      <w:start w:val="1"/>
      <w:numFmt w:val="lowerLetter"/>
      <w:lvlText w:val="%5."/>
      <w:lvlJc w:val="left"/>
      <w:pPr>
        <w:ind w:left="3699" w:hanging="360"/>
      </w:pPr>
    </w:lvl>
    <w:lvl w:ilvl="5" w:tplc="4809001B" w:tentative="1">
      <w:start w:val="1"/>
      <w:numFmt w:val="lowerRoman"/>
      <w:lvlText w:val="%6."/>
      <w:lvlJc w:val="right"/>
      <w:pPr>
        <w:ind w:left="4419" w:hanging="180"/>
      </w:pPr>
    </w:lvl>
    <w:lvl w:ilvl="6" w:tplc="4809000F" w:tentative="1">
      <w:start w:val="1"/>
      <w:numFmt w:val="decimal"/>
      <w:lvlText w:val="%7."/>
      <w:lvlJc w:val="left"/>
      <w:pPr>
        <w:ind w:left="5139" w:hanging="360"/>
      </w:pPr>
    </w:lvl>
    <w:lvl w:ilvl="7" w:tplc="48090019" w:tentative="1">
      <w:start w:val="1"/>
      <w:numFmt w:val="lowerLetter"/>
      <w:lvlText w:val="%8."/>
      <w:lvlJc w:val="left"/>
      <w:pPr>
        <w:ind w:left="5859" w:hanging="360"/>
      </w:pPr>
    </w:lvl>
    <w:lvl w:ilvl="8" w:tplc="4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3F653EC2"/>
    <w:multiLevelType w:val="hybridMultilevel"/>
    <w:tmpl w:val="6F14D064"/>
    <w:lvl w:ilvl="0" w:tplc="C128A1EC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B10CB0"/>
    <w:multiLevelType w:val="hybridMultilevel"/>
    <w:tmpl w:val="C026E352"/>
    <w:lvl w:ilvl="0" w:tplc="E7681248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B68F7"/>
    <w:multiLevelType w:val="hybridMultilevel"/>
    <w:tmpl w:val="75DAC092"/>
    <w:lvl w:ilvl="0" w:tplc="731A379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38233D"/>
    <w:multiLevelType w:val="hybridMultilevel"/>
    <w:tmpl w:val="908E3EFE"/>
    <w:lvl w:ilvl="0" w:tplc="8D543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E50A8"/>
    <w:multiLevelType w:val="hybridMultilevel"/>
    <w:tmpl w:val="E378F442"/>
    <w:lvl w:ilvl="0" w:tplc="F9BE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86B77"/>
    <w:multiLevelType w:val="hybridMultilevel"/>
    <w:tmpl w:val="26CCDD4A"/>
    <w:lvl w:ilvl="0" w:tplc="87322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458514">
    <w:abstractNumId w:val="5"/>
  </w:num>
  <w:num w:numId="2" w16cid:durableId="2002200282">
    <w:abstractNumId w:val="7"/>
  </w:num>
  <w:num w:numId="3" w16cid:durableId="160044214">
    <w:abstractNumId w:val="3"/>
  </w:num>
  <w:num w:numId="4" w16cid:durableId="1294867514">
    <w:abstractNumId w:val="2"/>
  </w:num>
  <w:num w:numId="5" w16cid:durableId="1184786406">
    <w:abstractNumId w:val="12"/>
  </w:num>
  <w:num w:numId="6" w16cid:durableId="1708677056">
    <w:abstractNumId w:val="11"/>
  </w:num>
  <w:num w:numId="7" w16cid:durableId="548149812">
    <w:abstractNumId w:val="4"/>
  </w:num>
  <w:num w:numId="8" w16cid:durableId="221406214">
    <w:abstractNumId w:val="8"/>
  </w:num>
  <w:num w:numId="9" w16cid:durableId="1955870011">
    <w:abstractNumId w:val="10"/>
  </w:num>
  <w:num w:numId="10" w16cid:durableId="1881625859">
    <w:abstractNumId w:val="9"/>
  </w:num>
  <w:num w:numId="11" w16cid:durableId="1083717590">
    <w:abstractNumId w:val="1"/>
  </w:num>
  <w:num w:numId="12" w16cid:durableId="298417610">
    <w:abstractNumId w:val="6"/>
  </w:num>
  <w:num w:numId="13" w16cid:durableId="16478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DA"/>
    <w:rsid w:val="00001ADC"/>
    <w:rsid w:val="00004E60"/>
    <w:rsid w:val="00007969"/>
    <w:rsid w:val="00011F93"/>
    <w:rsid w:val="00083BD0"/>
    <w:rsid w:val="0009148D"/>
    <w:rsid w:val="00093E9B"/>
    <w:rsid w:val="000946FB"/>
    <w:rsid w:val="00097D04"/>
    <w:rsid w:val="000B2CE4"/>
    <w:rsid w:val="000B6EA4"/>
    <w:rsid w:val="000D0B8F"/>
    <w:rsid w:val="000F49B9"/>
    <w:rsid w:val="0010177D"/>
    <w:rsid w:val="00101B8D"/>
    <w:rsid w:val="0011438D"/>
    <w:rsid w:val="0013284D"/>
    <w:rsid w:val="00161A62"/>
    <w:rsid w:val="00175C45"/>
    <w:rsid w:val="001831BA"/>
    <w:rsid w:val="00197697"/>
    <w:rsid w:val="001B02B5"/>
    <w:rsid w:val="001F2CDE"/>
    <w:rsid w:val="00211283"/>
    <w:rsid w:val="00221A22"/>
    <w:rsid w:val="002220C4"/>
    <w:rsid w:val="00233299"/>
    <w:rsid w:val="002B68BA"/>
    <w:rsid w:val="002C4CEB"/>
    <w:rsid w:val="002F22C8"/>
    <w:rsid w:val="003248FB"/>
    <w:rsid w:val="00377837"/>
    <w:rsid w:val="003924F9"/>
    <w:rsid w:val="003B698E"/>
    <w:rsid w:val="00404FDB"/>
    <w:rsid w:val="00420B59"/>
    <w:rsid w:val="00457699"/>
    <w:rsid w:val="00463A84"/>
    <w:rsid w:val="00492182"/>
    <w:rsid w:val="004B3E47"/>
    <w:rsid w:val="004B7D77"/>
    <w:rsid w:val="004C3BAA"/>
    <w:rsid w:val="004D5B34"/>
    <w:rsid w:val="004E47AC"/>
    <w:rsid w:val="004F1F5C"/>
    <w:rsid w:val="004F74CC"/>
    <w:rsid w:val="00501B36"/>
    <w:rsid w:val="0052451A"/>
    <w:rsid w:val="00530828"/>
    <w:rsid w:val="00535050"/>
    <w:rsid w:val="00556AAF"/>
    <w:rsid w:val="00563DCD"/>
    <w:rsid w:val="005751C7"/>
    <w:rsid w:val="00590DF2"/>
    <w:rsid w:val="005B4B41"/>
    <w:rsid w:val="005B4D85"/>
    <w:rsid w:val="005B7D6E"/>
    <w:rsid w:val="005D38BD"/>
    <w:rsid w:val="005D7C6A"/>
    <w:rsid w:val="005E370D"/>
    <w:rsid w:val="005E7C55"/>
    <w:rsid w:val="005F2345"/>
    <w:rsid w:val="00621FE7"/>
    <w:rsid w:val="0062636C"/>
    <w:rsid w:val="00642EDD"/>
    <w:rsid w:val="006536FC"/>
    <w:rsid w:val="00657AEF"/>
    <w:rsid w:val="0068013F"/>
    <w:rsid w:val="006B26A6"/>
    <w:rsid w:val="006B41F4"/>
    <w:rsid w:val="006F6117"/>
    <w:rsid w:val="00701F43"/>
    <w:rsid w:val="0071738C"/>
    <w:rsid w:val="00740541"/>
    <w:rsid w:val="00780BBB"/>
    <w:rsid w:val="00787BE3"/>
    <w:rsid w:val="00855F39"/>
    <w:rsid w:val="00862A28"/>
    <w:rsid w:val="00874359"/>
    <w:rsid w:val="008B2E73"/>
    <w:rsid w:val="008D1F07"/>
    <w:rsid w:val="008F09CD"/>
    <w:rsid w:val="00935354"/>
    <w:rsid w:val="00941907"/>
    <w:rsid w:val="00950B8F"/>
    <w:rsid w:val="009666E2"/>
    <w:rsid w:val="009B46DA"/>
    <w:rsid w:val="009C7F54"/>
    <w:rsid w:val="009E298C"/>
    <w:rsid w:val="009F268E"/>
    <w:rsid w:val="00A06D08"/>
    <w:rsid w:val="00A37D02"/>
    <w:rsid w:val="00A41528"/>
    <w:rsid w:val="00A918FC"/>
    <w:rsid w:val="00A963ED"/>
    <w:rsid w:val="00AA1333"/>
    <w:rsid w:val="00AB3E19"/>
    <w:rsid w:val="00B15366"/>
    <w:rsid w:val="00B17937"/>
    <w:rsid w:val="00B22F6C"/>
    <w:rsid w:val="00B31C9C"/>
    <w:rsid w:val="00B41AC0"/>
    <w:rsid w:val="00B82635"/>
    <w:rsid w:val="00B87D75"/>
    <w:rsid w:val="00BC0026"/>
    <w:rsid w:val="00BC0B54"/>
    <w:rsid w:val="00BC3EFA"/>
    <w:rsid w:val="00BC673C"/>
    <w:rsid w:val="00BD2732"/>
    <w:rsid w:val="00BD3DBB"/>
    <w:rsid w:val="00BE1698"/>
    <w:rsid w:val="00BE675F"/>
    <w:rsid w:val="00C05279"/>
    <w:rsid w:val="00C11900"/>
    <w:rsid w:val="00C80A23"/>
    <w:rsid w:val="00C82F5E"/>
    <w:rsid w:val="00C83FFF"/>
    <w:rsid w:val="00C875D3"/>
    <w:rsid w:val="00CA04A3"/>
    <w:rsid w:val="00CC3F4F"/>
    <w:rsid w:val="00CF12B5"/>
    <w:rsid w:val="00D0232D"/>
    <w:rsid w:val="00D10A79"/>
    <w:rsid w:val="00D14BA5"/>
    <w:rsid w:val="00DA1B04"/>
    <w:rsid w:val="00DD0A90"/>
    <w:rsid w:val="00DE4851"/>
    <w:rsid w:val="00DF40E8"/>
    <w:rsid w:val="00E11AD2"/>
    <w:rsid w:val="00E2664C"/>
    <w:rsid w:val="00E4091C"/>
    <w:rsid w:val="00E543E2"/>
    <w:rsid w:val="00E5611F"/>
    <w:rsid w:val="00E63657"/>
    <w:rsid w:val="00E71E57"/>
    <w:rsid w:val="00E72792"/>
    <w:rsid w:val="00E84D0A"/>
    <w:rsid w:val="00EC4A40"/>
    <w:rsid w:val="00EE196E"/>
    <w:rsid w:val="00F07485"/>
    <w:rsid w:val="00F50FAF"/>
    <w:rsid w:val="00F62F5B"/>
    <w:rsid w:val="00F638C8"/>
    <w:rsid w:val="00F672F2"/>
    <w:rsid w:val="00F72DDA"/>
    <w:rsid w:val="00F96FCF"/>
    <w:rsid w:val="00FA12F1"/>
    <w:rsid w:val="00FB02B8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42C7C"/>
  <w15:docId w15:val="{7FCC2B2C-CF2C-47D9-A7A4-C9EE879F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6DA"/>
    <w:pPr>
      <w:ind w:left="720"/>
      <w:contextualSpacing/>
    </w:pPr>
  </w:style>
  <w:style w:type="table" w:styleId="TableGrid">
    <w:name w:val="Table Grid"/>
    <w:basedOn w:val="TableNormal"/>
    <w:uiPriority w:val="59"/>
    <w:rsid w:val="00F7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38C"/>
  </w:style>
  <w:style w:type="paragraph" w:styleId="Footer">
    <w:name w:val="footer"/>
    <w:basedOn w:val="Normal"/>
    <w:link w:val="FooterChar"/>
    <w:uiPriority w:val="99"/>
    <w:unhideWhenUsed/>
    <w:rsid w:val="00717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38C"/>
  </w:style>
  <w:style w:type="paragraph" w:styleId="BalloonText">
    <w:name w:val="Balloon Text"/>
    <w:basedOn w:val="Normal"/>
    <w:link w:val="BalloonTextChar"/>
    <w:uiPriority w:val="99"/>
    <w:semiHidden/>
    <w:unhideWhenUsed/>
    <w:rsid w:val="005D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B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E11A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1A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AD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4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package" Target="embeddings/Microsoft_Word_Document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7801D8EFBE4A9995443AE9C58F43" ma:contentTypeVersion="" ma:contentTypeDescription="Create a new document." ma:contentTypeScope="" ma:versionID="f4707254e4abe87c2dff6cd4455ea7f0">
  <xsd:schema xmlns:xsd="http://www.w3.org/2001/XMLSchema" xmlns:xs="http://www.w3.org/2001/XMLSchema" xmlns:p="http://schemas.microsoft.com/office/2006/metadata/properties" xmlns:ns2="56714029-F9E7-4E79-A3CA-5B448842D886" xmlns:ns3="d2f92514-1bf7-403d-9a3e-df7764d5ac2f" targetNamespace="http://schemas.microsoft.com/office/2006/metadata/properties" ma:root="true" ma:fieldsID="a38d01ba3006f6547f33fb1a80136b67" ns2:_="" ns3:_="">
    <xsd:import namespace="56714029-F9E7-4E79-A3CA-5B448842D886"/>
    <xsd:import namespace="d2f92514-1bf7-403d-9a3e-df7764d5ac2f"/>
    <xsd:element name="properties">
      <xsd:complexType>
        <xsd:sequence>
          <xsd:element name="documentManagement">
            <xsd:complexType>
              <xsd:all>
                <xsd:element ref="ns2:FiledeRegist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4029-F9E7-4E79-A3CA-5B448842D886" elementFormDefault="qualified">
    <xsd:import namespace="http://schemas.microsoft.com/office/2006/documentManagement/types"/>
    <xsd:import namespace="http://schemas.microsoft.com/office/infopath/2007/PartnerControls"/>
    <xsd:element name="FiledeRegistry" ma:index="8" nillable="true" ma:displayName="FiledeRegistry" ma:default="0" ma:internalName="FiledeRegistr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2514-1bf7-403d-9a3e-df7764d5ac2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Registry xmlns="56714029-F9E7-4E79-A3CA-5B448842D886">false</FiledeRegistry>
    <SharedWithUsers xmlns="d2f92514-1bf7-403d-9a3e-df7764d5ac2f">
      <UserInfo>
        <DisplayName>Tan Keng Yong</DisplayName>
        <AccountId>229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DCED-11E2-4A44-B143-1E6D211D3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14029-F9E7-4E79-A3CA-5B448842D886"/>
    <ds:schemaRef ds:uri="d2f92514-1bf7-403d-9a3e-df7764d5a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94A1F-FB5D-4947-AFD4-CB1CE5DAD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07E5A-E140-4773-BC2B-79FCC883A04F}">
  <ds:schemaRefs>
    <ds:schemaRef ds:uri="http://schemas.microsoft.com/office/2006/metadata/properties"/>
    <ds:schemaRef ds:uri="http://schemas.microsoft.com/office/infopath/2007/PartnerControls"/>
    <ds:schemaRef ds:uri="56714029-F9E7-4E79-A3CA-5B448842D886"/>
    <ds:schemaRef ds:uri="d2f92514-1bf7-403d-9a3e-df7764d5ac2f"/>
  </ds:schemaRefs>
</ds:datastoreItem>
</file>

<file path=customXml/itemProps4.xml><?xml version="1.0" encoding="utf-8"?>
<ds:datastoreItem xmlns:ds="http://schemas.openxmlformats.org/officeDocument/2006/customXml" ds:itemID="{8FA5011D-FD93-47AA-871F-33A19557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ONG (ACRA)</dc:creator>
  <cp:lastModifiedBy>Eddy Edzwan</cp:lastModifiedBy>
  <cp:revision>2</cp:revision>
  <cp:lastPrinted>2015-09-25T06:23:00Z</cp:lastPrinted>
  <dcterms:created xsi:type="dcterms:W3CDTF">2022-06-08T06:04:00Z</dcterms:created>
  <dcterms:modified xsi:type="dcterms:W3CDTF">2022-06-08T06:04:00Z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0x010100327D7801D8EFBE4A9995443AE9C58F43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2022-05-25T06:46:45Z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bd31cbba-db11-4637-ad25-c0c2ec3769f8</vt:lpwstr>
  </property>
  <property fmtid="{D5CDD505-2E9C-101B-9397-08002B2CF9AE}" pid="9" name="MSIP_Label_5434c4c7-833e-41e4-b0ab-cdb227a2f6f7_ContentBits">
    <vt:lpwstr>0</vt:lpwstr>
  </property>
</Properties>
</file>